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360" w:lineRule="auto"/>
        <w:jc w:val="center"/>
        <w:rPr>
          <w:rFonts w:ascii="华文中宋" w:hAnsi="华文中宋" w:eastAsia="华文中宋"/>
          <w:bCs/>
          <w:sz w:val="30"/>
          <w:szCs w:val="30"/>
        </w:rPr>
      </w:pPr>
      <w:bookmarkStart w:id="4" w:name="_GoBack"/>
      <w:bookmarkEnd w:id="4"/>
      <w:r>
        <w:rPr>
          <w:rFonts w:hint="eastAsia" w:ascii="华文中宋" w:hAnsi="华文中宋" w:eastAsia="华文中宋"/>
          <w:bCs/>
          <w:sz w:val="30"/>
          <w:szCs w:val="30"/>
        </w:rPr>
        <w:t>《化妆品用原料</w:t>
      </w:r>
      <w:r>
        <w:rPr>
          <w:rFonts w:ascii="华文中宋" w:hAnsi="华文中宋" w:eastAsia="华文中宋"/>
          <w:bCs/>
          <w:sz w:val="30"/>
          <w:szCs w:val="30"/>
        </w:rPr>
        <w:t xml:space="preserve"> </w:t>
      </w:r>
      <w:r>
        <w:rPr>
          <w:rFonts w:hint="eastAsia" w:ascii="华文中宋" w:hAnsi="华文中宋" w:eastAsia="华文中宋"/>
          <w:bCs/>
          <w:sz w:val="30"/>
          <w:szCs w:val="30"/>
        </w:rPr>
        <w:t>二乙氨羟苯甲酰基苯甲酸己酯》编</w:t>
      </w:r>
      <w:r>
        <w:rPr>
          <w:rFonts w:ascii="华文中宋" w:hAnsi="华文中宋" w:eastAsia="华文中宋"/>
          <w:bCs/>
          <w:sz w:val="30"/>
          <w:szCs w:val="30"/>
        </w:rPr>
        <w:t>制说明</w:t>
      </w:r>
    </w:p>
    <w:p>
      <w:pPr>
        <w:pStyle w:val="23"/>
        <w:tabs>
          <w:tab w:val="left" w:pos="1276"/>
        </w:tabs>
        <w:spacing w:line="360" w:lineRule="auto"/>
        <w:ind w:firstLine="0" w:firstLineChars="0"/>
        <w:rPr>
          <w:rFonts w:ascii="华文中宋" w:hAnsi="华文中宋" w:eastAsia="华文中宋"/>
          <w:bCs/>
          <w:sz w:val="24"/>
          <w:szCs w:val="24"/>
        </w:rPr>
      </w:pPr>
      <w:r>
        <w:rPr>
          <w:rFonts w:ascii="华文中宋" w:hAnsi="华文中宋" w:eastAsia="华文中宋"/>
          <w:bCs/>
          <w:sz w:val="24"/>
          <w:szCs w:val="24"/>
        </w:rPr>
        <w:t>一、标准起草的基本情况（包括简要的起草过程、主要起草单位、起草人等）</w:t>
      </w:r>
    </w:p>
    <w:p>
      <w:pPr>
        <w:spacing w:line="360" w:lineRule="auto"/>
        <w:ind w:firstLine="480" w:firstLineChars="200"/>
        <w:rPr>
          <w:rFonts w:ascii="仿宋" w:hAnsi="仿宋" w:eastAsia="仿宋"/>
          <w:sz w:val="24"/>
          <w:szCs w:val="24"/>
        </w:rPr>
      </w:pPr>
      <w:r>
        <w:rPr>
          <w:rFonts w:hint="eastAsia" w:ascii="仿宋" w:hAnsi="仿宋" w:eastAsia="仿宋"/>
          <w:sz w:val="24"/>
          <w:szCs w:val="24"/>
        </w:rPr>
        <w:t>紫外线吸收剂二乙氨羟苯甲酰基苯甲酸己酯</w:t>
      </w:r>
      <w:r>
        <w:rPr>
          <w:rFonts w:ascii="仿宋" w:hAnsi="仿宋" w:eastAsia="仿宋"/>
          <w:sz w:val="24"/>
          <w:szCs w:val="24"/>
        </w:rPr>
        <w:t>，</w:t>
      </w:r>
      <w:r>
        <w:rPr>
          <w:rFonts w:hint="eastAsia" w:ascii="仿宋" w:hAnsi="仿宋" w:eastAsia="仿宋"/>
          <w:sz w:val="24"/>
          <w:szCs w:val="24"/>
        </w:rPr>
        <w:t>别名</w:t>
      </w:r>
      <w:r>
        <w:rPr>
          <w:rFonts w:ascii="仿宋" w:hAnsi="仿宋" w:eastAsia="仿宋"/>
          <w:sz w:val="24"/>
          <w:szCs w:val="24"/>
        </w:rPr>
        <w:t>Uvinul A plus</w:t>
      </w:r>
      <w:r>
        <w:rPr>
          <w:rFonts w:hint="eastAsia" w:ascii="仿宋" w:hAnsi="仿宋" w:eastAsia="仿宋"/>
          <w:sz w:val="24"/>
          <w:szCs w:val="24"/>
        </w:rPr>
        <w:t>，英文名称</w:t>
      </w:r>
      <w:r>
        <w:rPr>
          <w:rFonts w:ascii="仿宋" w:hAnsi="仿宋" w:eastAsia="仿宋"/>
          <w:sz w:val="24"/>
          <w:szCs w:val="24"/>
        </w:rPr>
        <w:t>D</w:t>
      </w:r>
      <w:r>
        <w:rPr>
          <w:rFonts w:hint="eastAsia" w:ascii="仿宋" w:hAnsi="仿宋" w:eastAsia="仿宋"/>
          <w:sz w:val="24"/>
          <w:szCs w:val="24"/>
        </w:rPr>
        <w:t>i</w:t>
      </w:r>
      <w:r>
        <w:rPr>
          <w:rFonts w:ascii="仿宋" w:hAnsi="仿宋" w:eastAsia="仿宋"/>
          <w:sz w:val="24"/>
          <w:szCs w:val="24"/>
        </w:rPr>
        <w:t>ethylamino Hydroxybenzoyl Hexyl Benzoate</w:t>
      </w:r>
      <w:r>
        <w:rPr>
          <w:rFonts w:hint="eastAsia" w:ascii="仿宋" w:hAnsi="仿宋" w:eastAsia="仿宋"/>
          <w:sz w:val="24"/>
          <w:szCs w:val="24"/>
        </w:rPr>
        <w:t>，</w:t>
      </w:r>
      <w:r>
        <w:rPr>
          <w:rFonts w:ascii="仿宋" w:hAnsi="仿宋" w:eastAsia="仿宋"/>
          <w:sz w:val="24"/>
          <w:szCs w:val="24"/>
        </w:rPr>
        <w:t>化学名称为</w:t>
      </w:r>
      <w:r>
        <w:rPr>
          <w:rFonts w:hint="eastAsia" w:ascii="仿宋" w:hAnsi="仿宋" w:eastAsia="仿宋"/>
          <w:sz w:val="24"/>
          <w:szCs w:val="24"/>
        </w:rPr>
        <w:t>“</w:t>
      </w:r>
      <w:r>
        <w:rPr>
          <w:rFonts w:ascii="仿宋" w:hAnsi="仿宋" w:eastAsia="仿宋"/>
          <w:sz w:val="24"/>
          <w:szCs w:val="24"/>
        </w:rPr>
        <w:t>2-[4-(二乙基氨基)-2-羟基苯甲酰基]苯甲酸己酯</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化学式C</w:t>
      </w:r>
      <w:r>
        <w:rPr>
          <w:rFonts w:hint="eastAsia" w:ascii="仿宋" w:hAnsi="仿宋" w:eastAsia="仿宋"/>
          <w:sz w:val="24"/>
          <w:szCs w:val="24"/>
          <w:vertAlign w:val="subscript"/>
        </w:rPr>
        <w:t>24</w:t>
      </w:r>
      <w:r>
        <w:rPr>
          <w:rFonts w:ascii="仿宋" w:hAnsi="仿宋" w:eastAsia="仿宋"/>
          <w:sz w:val="24"/>
          <w:szCs w:val="24"/>
        </w:rPr>
        <w:t>H</w:t>
      </w:r>
      <w:r>
        <w:rPr>
          <w:rFonts w:hint="eastAsia" w:ascii="仿宋" w:hAnsi="仿宋" w:eastAsia="仿宋"/>
          <w:sz w:val="24"/>
          <w:szCs w:val="24"/>
          <w:vertAlign w:val="subscript"/>
        </w:rPr>
        <w:t>31</w:t>
      </w:r>
      <w:r>
        <w:rPr>
          <w:rFonts w:ascii="仿宋" w:hAnsi="仿宋" w:eastAsia="仿宋"/>
          <w:sz w:val="24"/>
          <w:szCs w:val="24"/>
        </w:rPr>
        <w:t>NO</w:t>
      </w:r>
      <w:r>
        <w:rPr>
          <w:rFonts w:hint="eastAsia" w:ascii="仿宋" w:hAnsi="仿宋" w:eastAsia="仿宋"/>
          <w:sz w:val="24"/>
          <w:szCs w:val="24"/>
          <w:vertAlign w:val="subscript"/>
        </w:rPr>
        <w:t>4</w:t>
      </w:r>
      <w:r>
        <w:rPr>
          <w:rFonts w:hint="eastAsia" w:ascii="仿宋" w:hAnsi="仿宋" w:eastAsia="仿宋"/>
          <w:sz w:val="24"/>
          <w:szCs w:val="24"/>
        </w:rPr>
        <w:t>，</w:t>
      </w:r>
      <w:r>
        <w:rPr>
          <w:rFonts w:ascii="仿宋" w:hAnsi="仿宋" w:eastAsia="仿宋"/>
          <w:sz w:val="24"/>
          <w:szCs w:val="24"/>
        </w:rPr>
        <w:t>CAS号302776-68-7</w:t>
      </w:r>
      <w:r>
        <w:rPr>
          <w:rFonts w:hint="eastAsia" w:ascii="仿宋" w:hAnsi="仿宋" w:eastAsia="仿宋"/>
          <w:sz w:val="24"/>
          <w:szCs w:val="24"/>
        </w:rPr>
        <w:t>，</w:t>
      </w:r>
      <w:r>
        <w:rPr>
          <w:rFonts w:ascii="仿宋" w:hAnsi="仿宋" w:eastAsia="仿宋"/>
          <w:sz w:val="24"/>
          <w:szCs w:val="24"/>
        </w:rPr>
        <w:t>为</w:t>
      </w:r>
      <w:r>
        <w:rPr>
          <w:rFonts w:hint="eastAsia" w:ascii="仿宋" w:hAnsi="仿宋" w:eastAsia="仿宋"/>
          <w:sz w:val="24"/>
          <w:szCs w:val="24"/>
        </w:rPr>
        <w:t>白色至浅鲑鱼色颗粒状粉末</w:t>
      </w:r>
      <w:r>
        <w:rPr>
          <w:rFonts w:ascii="仿宋" w:hAnsi="仿宋" w:eastAsia="仿宋"/>
          <w:sz w:val="24"/>
          <w:szCs w:val="24"/>
        </w:rPr>
        <w:t>，相对分子质量为3</w:t>
      </w:r>
      <w:r>
        <w:rPr>
          <w:rFonts w:hint="eastAsia" w:ascii="仿宋" w:hAnsi="仿宋" w:eastAsia="仿宋"/>
          <w:sz w:val="24"/>
          <w:szCs w:val="24"/>
        </w:rPr>
        <w:t>97.5</w:t>
      </w:r>
      <w:r>
        <w:rPr>
          <w:rFonts w:ascii="仿宋" w:hAnsi="仿宋" w:eastAsia="仿宋"/>
          <w:sz w:val="24"/>
          <w:szCs w:val="24"/>
        </w:rPr>
        <w:t>1，对紫外线的最大吸收波长为3</w:t>
      </w:r>
      <w:r>
        <w:rPr>
          <w:rFonts w:hint="eastAsia" w:ascii="仿宋" w:hAnsi="仿宋" w:eastAsia="仿宋"/>
          <w:sz w:val="24"/>
          <w:szCs w:val="24"/>
        </w:rPr>
        <w:t>54</w:t>
      </w:r>
      <w:r>
        <w:rPr>
          <w:rFonts w:ascii="仿宋" w:hAnsi="仿宋" w:eastAsia="仿宋"/>
          <w:sz w:val="24"/>
          <w:szCs w:val="24"/>
        </w:rPr>
        <w:t>nm</w:t>
      </w:r>
      <w:r>
        <w:rPr>
          <w:rFonts w:hint="eastAsia" w:ascii="仿宋" w:hAnsi="仿宋" w:eastAsia="仿宋"/>
          <w:sz w:val="24"/>
          <w:szCs w:val="24"/>
        </w:rPr>
        <w:t>，分子结构具有很好的共振及氢离子转移效果，在吸收剂吸收紫外线过程中分子的结构不会被破坏，因此可以起到长效防护</w:t>
      </w:r>
      <w:r>
        <w:rPr>
          <w:rFonts w:ascii="仿宋" w:hAnsi="仿宋" w:eastAsia="仿宋"/>
          <w:sz w:val="24"/>
          <w:szCs w:val="24"/>
        </w:rPr>
        <w:t>，对整个UVA波段（320-420nm）紫外线都具有较强吸收，是目前UVA波段最好的紫外线吸收剂之一。</w:t>
      </w:r>
    </w:p>
    <w:p>
      <w:pPr>
        <w:spacing w:line="360" w:lineRule="auto"/>
        <w:ind w:firstLine="480" w:firstLineChars="200"/>
        <w:rPr>
          <w:rFonts w:ascii="仿宋" w:hAnsi="仿宋" w:eastAsia="仿宋"/>
          <w:sz w:val="24"/>
          <w:szCs w:val="24"/>
        </w:rPr>
      </w:pPr>
      <w:r>
        <w:rPr>
          <w:rFonts w:hint="eastAsia" w:ascii="仿宋" w:hAnsi="仿宋" w:eastAsia="仿宋"/>
          <w:sz w:val="24"/>
          <w:szCs w:val="24"/>
        </w:rPr>
        <w:t>此产品在</w:t>
      </w:r>
      <w:r>
        <w:rPr>
          <w:rFonts w:ascii="仿宋" w:hAnsi="仿宋" w:eastAsia="仿宋"/>
          <w:sz w:val="24"/>
          <w:szCs w:val="24"/>
        </w:rPr>
        <w:t>UVA波段具有较高的吸收效果</w:t>
      </w:r>
      <w:r>
        <w:rPr>
          <w:rFonts w:hint="eastAsia" w:ascii="仿宋" w:hAnsi="仿宋" w:eastAsia="仿宋"/>
          <w:sz w:val="24"/>
          <w:szCs w:val="24"/>
        </w:rPr>
        <w:t>，能提供可靠的</w:t>
      </w:r>
      <w:r>
        <w:rPr>
          <w:rFonts w:ascii="仿宋" w:hAnsi="仿宋" w:eastAsia="仿宋"/>
          <w:sz w:val="24"/>
          <w:szCs w:val="24"/>
        </w:rPr>
        <w:t>UVA防护，</w:t>
      </w:r>
      <w:r>
        <w:rPr>
          <w:rFonts w:hint="eastAsia" w:ascii="仿宋" w:hAnsi="仿宋" w:eastAsia="仿宋"/>
          <w:sz w:val="24"/>
          <w:szCs w:val="24"/>
        </w:rPr>
        <w:t>其</w:t>
      </w:r>
      <w:r>
        <w:rPr>
          <w:rFonts w:ascii="仿宋" w:hAnsi="仿宋" w:eastAsia="仿宋"/>
          <w:sz w:val="24"/>
          <w:szCs w:val="24"/>
        </w:rPr>
        <w:t>极佳光稳定性的高性能UVA滤光成分特别适用于防晒指数高的产品，对于紫外线产生的自由基有很强的防护作用，可以长时间维持效能</w:t>
      </w:r>
      <w:r>
        <w:rPr>
          <w:rFonts w:hint="eastAsia" w:ascii="仿宋" w:hAnsi="仿宋" w:eastAsia="仿宋"/>
          <w:sz w:val="24"/>
          <w:szCs w:val="24"/>
        </w:rPr>
        <w:t>，保护皮肤免受损伤，</w:t>
      </w:r>
      <w:r>
        <w:rPr>
          <w:rFonts w:ascii="仿宋" w:hAnsi="仿宋" w:eastAsia="仿宋"/>
          <w:sz w:val="24"/>
          <w:szCs w:val="24"/>
        </w:rPr>
        <w:t>属于</w:t>
      </w:r>
      <w:r>
        <w:rPr>
          <w:rFonts w:hint="eastAsia" w:ascii="仿宋" w:hAnsi="仿宋" w:eastAsia="仿宋"/>
          <w:sz w:val="24"/>
          <w:szCs w:val="24"/>
        </w:rPr>
        <w:t>油溶性</w:t>
      </w:r>
      <w:r>
        <w:rPr>
          <w:rFonts w:ascii="仿宋" w:hAnsi="仿宋" w:eastAsia="仿宋"/>
          <w:sz w:val="24"/>
          <w:szCs w:val="24"/>
        </w:rPr>
        <w:t>紫外线吸收剂</w:t>
      </w:r>
      <w:r>
        <w:rPr>
          <w:rFonts w:hint="eastAsia" w:ascii="仿宋" w:hAnsi="仿宋" w:eastAsia="仿宋"/>
          <w:sz w:val="24"/>
          <w:szCs w:val="24"/>
        </w:rPr>
        <w:t>，其油性颗粒不含防腐剂，低浓度亦保持高效性，便于灵活配制，是长效防晒及护肤产品的理想选择</w:t>
      </w:r>
      <w:r>
        <w:rPr>
          <w:rFonts w:ascii="仿宋" w:hAnsi="仿宋" w:eastAsia="仿宋"/>
          <w:sz w:val="24"/>
          <w:szCs w:val="24"/>
        </w:rPr>
        <w:t>，在</w:t>
      </w:r>
      <w:r>
        <w:rPr>
          <w:rFonts w:hint="eastAsia" w:ascii="仿宋" w:hAnsi="仿宋" w:eastAsia="仿宋"/>
          <w:sz w:val="24"/>
          <w:szCs w:val="24"/>
        </w:rPr>
        <w:t>中国、亚洲</w:t>
      </w:r>
      <w:r>
        <w:rPr>
          <w:rFonts w:ascii="仿宋" w:hAnsi="仿宋" w:eastAsia="仿宋"/>
          <w:sz w:val="24"/>
          <w:szCs w:val="24"/>
        </w:rPr>
        <w:t>和欧洲</w:t>
      </w:r>
      <w:r>
        <w:rPr>
          <w:rFonts w:hint="eastAsia" w:ascii="仿宋" w:hAnsi="仿宋" w:eastAsia="仿宋"/>
          <w:sz w:val="24"/>
          <w:szCs w:val="24"/>
        </w:rPr>
        <w:t>广泛</w:t>
      </w:r>
      <w:r>
        <w:rPr>
          <w:rFonts w:ascii="仿宋" w:hAnsi="仿宋" w:eastAsia="仿宋"/>
          <w:sz w:val="24"/>
          <w:szCs w:val="24"/>
        </w:rPr>
        <w:t>使用</w:t>
      </w:r>
      <w:r>
        <w:rPr>
          <w:rFonts w:hint="eastAsia" w:ascii="仿宋" w:hAnsi="仿宋" w:eastAsia="仿宋"/>
          <w:sz w:val="24"/>
          <w:szCs w:val="24"/>
        </w:rPr>
        <w:t>，我国《化妆品安全技术规范》（2015年版）规定其作为防晒剂用于化妆品的最大允许浓度为10%</w:t>
      </w:r>
      <w:r>
        <w:rPr>
          <w:rFonts w:ascii="仿宋" w:hAnsi="仿宋" w:eastAsia="仿宋"/>
          <w:sz w:val="24"/>
          <w:szCs w:val="24"/>
        </w:rPr>
        <w:t>。因此，近年来，</w:t>
      </w:r>
      <w:r>
        <w:rPr>
          <w:rFonts w:hint="eastAsia" w:ascii="仿宋" w:hAnsi="仿宋" w:eastAsia="仿宋"/>
          <w:sz w:val="24"/>
          <w:szCs w:val="24"/>
        </w:rPr>
        <w:t>二乙氨羟苯甲酰基苯甲酸己酯</w:t>
      </w:r>
      <w:r>
        <w:rPr>
          <w:rFonts w:ascii="仿宋" w:hAnsi="仿宋" w:eastAsia="仿宋"/>
          <w:sz w:val="24"/>
          <w:szCs w:val="24"/>
        </w:rPr>
        <w:t>的市场需求量越来越大。</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二乙氨羟苯甲酰基苯甲酸己酯是《已使用化妆品原料目录（</w:t>
      </w:r>
      <w:r>
        <w:rPr>
          <w:rFonts w:ascii="仿宋" w:hAnsi="仿宋" w:eastAsia="仿宋"/>
          <w:sz w:val="24"/>
          <w:szCs w:val="24"/>
        </w:rPr>
        <w:t>2021年版）》中</w:t>
      </w:r>
      <w:r>
        <w:rPr>
          <w:rFonts w:hint="eastAsia" w:ascii="仿宋" w:hAnsi="仿宋" w:eastAsia="仿宋"/>
          <w:sz w:val="24"/>
          <w:szCs w:val="24"/>
        </w:rPr>
        <w:t>收录</w:t>
      </w:r>
      <w:r>
        <w:rPr>
          <w:rFonts w:ascii="仿宋" w:hAnsi="仿宋" w:eastAsia="仿宋"/>
          <w:sz w:val="24"/>
          <w:szCs w:val="24"/>
        </w:rPr>
        <w:t>的一种高效紫外线吸收剂，主要用于吸收A波段的紫外线，在中国、亚洲和欧洲市场上被广泛使用，具有较好的防晒性能。</w:t>
      </w:r>
      <w:r>
        <w:rPr>
          <w:rFonts w:hint="eastAsia" w:ascii="仿宋" w:hAnsi="仿宋" w:eastAsia="仿宋"/>
          <w:sz w:val="24"/>
          <w:szCs w:val="24"/>
        </w:rPr>
        <w:t>然而，该产品在国内没有统一的产品技术标准，基于我国化妆品新规要求，化妆品安全性成为焦点，建立二乙氨羟苯甲酰基苯甲酸己酯团体标准，有利于提升产品质量，有利于提升产品安全性，有利于化妆品原料市场的规范管理，具有十分重要的意义</w:t>
      </w:r>
      <w:r>
        <w:rPr>
          <w:rFonts w:hint="eastAsia" w:ascii="仿宋" w:hAnsi="仿宋" w:eastAsia="仿宋" w:cs="仿宋"/>
          <w:sz w:val="24"/>
        </w:rPr>
        <w:t>。因此，经黄冈美丰化工科技有限公司提案，中国香料香精化妆品工业协会提出制定《化妆品用原料 二乙氨羟苯甲酰基苯甲酸己酯》团体标准，经立项公示通过立项，组织制定工作。</w:t>
      </w:r>
    </w:p>
    <w:p>
      <w:pPr>
        <w:pStyle w:val="8"/>
        <w:shd w:val="clear" w:color="auto" w:fill="FFFFFF"/>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由于此产品目前国内没有相关的法规标准，本标准起草制定参照《中华人民共和国药典》20</w:t>
      </w:r>
      <w:r>
        <w:rPr>
          <w:rFonts w:ascii="仿宋" w:hAnsi="仿宋" w:eastAsia="仿宋" w:cs="仿宋"/>
        </w:rPr>
        <w:t>20</w:t>
      </w:r>
      <w:r>
        <w:rPr>
          <w:rFonts w:hint="eastAsia" w:ascii="仿宋" w:hAnsi="仿宋" w:eastAsia="仿宋" w:cs="仿宋"/>
        </w:rPr>
        <w:t>年版和GB/T 22295－2008 《透明颜色测定法（加德纳色度）》等标准进行编制。</w:t>
      </w:r>
    </w:p>
    <w:p>
      <w:pPr>
        <w:spacing w:line="360" w:lineRule="auto"/>
        <w:rPr>
          <w:rFonts w:ascii="华文中宋" w:hAnsi="华文中宋" w:eastAsia="华文中宋"/>
          <w:bCs/>
          <w:sz w:val="24"/>
          <w:szCs w:val="28"/>
        </w:rPr>
      </w:pPr>
      <w:r>
        <w:rPr>
          <w:rFonts w:ascii="华文中宋" w:hAnsi="华文中宋" w:eastAsia="华文中宋"/>
          <w:bCs/>
          <w:sz w:val="24"/>
          <w:szCs w:val="24"/>
        </w:rPr>
        <w:t>1．工作来源</w:t>
      </w:r>
    </w:p>
    <w:p>
      <w:pPr>
        <w:spacing w:line="360" w:lineRule="auto"/>
        <w:ind w:firstLine="480" w:firstLineChars="200"/>
        <w:rPr>
          <w:rFonts w:ascii="仿宋" w:hAnsi="仿宋" w:eastAsia="仿宋"/>
          <w:sz w:val="24"/>
          <w:szCs w:val="24"/>
        </w:rPr>
      </w:pPr>
      <w:r>
        <w:rPr>
          <w:rFonts w:ascii="仿宋" w:hAnsi="仿宋" w:eastAsia="仿宋"/>
          <w:sz w:val="24"/>
          <w:szCs w:val="24"/>
        </w:rPr>
        <w:t>本团体标准</w:t>
      </w:r>
      <w:r>
        <w:rPr>
          <w:rFonts w:hint="eastAsia" w:ascii="仿宋" w:hAnsi="仿宋" w:eastAsia="仿宋"/>
          <w:sz w:val="24"/>
          <w:szCs w:val="24"/>
        </w:rPr>
        <w:t>提案</w:t>
      </w:r>
      <w:r>
        <w:rPr>
          <w:rFonts w:ascii="仿宋" w:hAnsi="仿宋" w:eastAsia="仿宋"/>
          <w:sz w:val="24"/>
          <w:szCs w:val="24"/>
        </w:rPr>
        <w:t>经中国香料香精化妆品工业协会审议通过</w:t>
      </w:r>
      <w:r>
        <w:rPr>
          <w:rFonts w:hint="eastAsia" w:ascii="仿宋" w:hAnsi="仿宋" w:eastAsia="仿宋"/>
          <w:sz w:val="24"/>
          <w:szCs w:val="24"/>
        </w:rPr>
        <w:t>并</w:t>
      </w:r>
      <w:r>
        <w:rPr>
          <w:rFonts w:ascii="仿宋" w:hAnsi="仿宋" w:eastAsia="仿宋"/>
          <w:sz w:val="24"/>
          <w:szCs w:val="24"/>
        </w:rPr>
        <w:t>立项，通知见《关于202</w:t>
      </w:r>
      <w:r>
        <w:rPr>
          <w:rFonts w:hint="eastAsia" w:ascii="仿宋" w:hAnsi="仿宋" w:eastAsia="仿宋"/>
          <w:sz w:val="24"/>
          <w:szCs w:val="24"/>
        </w:rPr>
        <w:t>1</w:t>
      </w:r>
      <w:r>
        <w:rPr>
          <w:rFonts w:ascii="仿宋" w:hAnsi="仿宋" w:eastAsia="仿宋"/>
          <w:sz w:val="24"/>
          <w:szCs w:val="24"/>
        </w:rPr>
        <w:t>年中国香料香精化妆品工业协会团体标准（第</w:t>
      </w:r>
      <w:r>
        <w:rPr>
          <w:rFonts w:hint="eastAsia" w:ascii="仿宋" w:hAnsi="仿宋" w:eastAsia="仿宋"/>
          <w:sz w:val="24"/>
          <w:szCs w:val="24"/>
        </w:rPr>
        <w:t>三</w:t>
      </w:r>
      <w:r>
        <w:rPr>
          <w:rFonts w:ascii="仿宋" w:hAnsi="仿宋" w:eastAsia="仿宋"/>
          <w:sz w:val="24"/>
          <w:szCs w:val="24"/>
        </w:rPr>
        <w:t>批）立项公示的通知》（香化协字[202</w:t>
      </w:r>
      <w:r>
        <w:rPr>
          <w:rFonts w:hint="eastAsia" w:ascii="仿宋" w:hAnsi="仿宋" w:eastAsia="仿宋"/>
          <w:sz w:val="24"/>
          <w:szCs w:val="24"/>
        </w:rPr>
        <w:t>1</w:t>
      </w:r>
      <w:r>
        <w:rPr>
          <w:rFonts w:ascii="仿宋" w:hAnsi="仿宋" w:eastAsia="仿宋"/>
          <w:sz w:val="24"/>
          <w:szCs w:val="24"/>
        </w:rPr>
        <w:t>]18号）</w:t>
      </w:r>
      <w:r>
        <w:rPr>
          <w:rFonts w:hint="eastAsia" w:ascii="仿宋" w:hAnsi="仿宋" w:eastAsia="仿宋"/>
          <w:sz w:val="24"/>
          <w:szCs w:val="24"/>
        </w:rPr>
        <w:t>，</w:t>
      </w:r>
      <w:r>
        <w:rPr>
          <w:rFonts w:ascii="仿宋" w:hAnsi="仿宋" w:eastAsia="仿宋"/>
          <w:sz w:val="24"/>
          <w:szCs w:val="24"/>
        </w:rPr>
        <w:t>由</w:t>
      </w:r>
      <w:r>
        <w:rPr>
          <w:rFonts w:hint="eastAsia" w:ascii="仿宋" w:hAnsi="仿宋" w:eastAsia="仿宋"/>
          <w:sz w:val="24"/>
          <w:szCs w:val="24"/>
        </w:rPr>
        <w:t>立项单位黄冈美丰化工科技有限公司</w:t>
      </w:r>
      <w:r>
        <w:rPr>
          <w:rFonts w:ascii="仿宋" w:hAnsi="仿宋" w:eastAsia="仿宋"/>
          <w:sz w:val="24"/>
          <w:szCs w:val="24"/>
        </w:rPr>
        <w:t>制定</w:t>
      </w:r>
      <w:r>
        <w:rPr>
          <w:rFonts w:hint="eastAsia" w:ascii="仿宋" w:hAnsi="仿宋" w:eastAsia="仿宋"/>
          <w:sz w:val="24"/>
          <w:szCs w:val="24"/>
        </w:rPr>
        <w:t>《化妆品用原料</w:t>
      </w:r>
      <w:r>
        <w:rPr>
          <w:rFonts w:ascii="仿宋" w:hAnsi="仿宋" w:eastAsia="仿宋"/>
          <w:sz w:val="24"/>
          <w:szCs w:val="24"/>
        </w:rPr>
        <w:t xml:space="preserve"> 二乙氨羟苯甲酰基苯甲酸己酯》团体标准。</w:t>
      </w:r>
    </w:p>
    <w:p>
      <w:pPr>
        <w:pStyle w:val="23"/>
        <w:numPr>
          <w:ilvl w:val="0"/>
          <w:numId w:val="1"/>
        </w:numPr>
        <w:spacing w:line="360" w:lineRule="auto"/>
        <w:ind w:firstLineChars="0"/>
        <w:rPr>
          <w:rFonts w:ascii="华文中宋" w:hAnsi="华文中宋" w:eastAsia="华文中宋"/>
          <w:bCs/>
          <w:sz w:val="24"/>
          <w:szCs w:val="24"/>
        </w:rPr>
      </w:pPr>
      <w:r>
        <w:rPr>
          <w:rFonts w:ascii="华文中宋" w:hAnsi="华文中宋" w:eastAsia="华文中宋"/>
          <w:bCs/>
          <w:sz w:val="24"/>
          <w:szCs w:val="24"/>
        </w:rPr>
        <w:t>起草单位与主要起草人</w:t>
      </w:r>
    </w:p>
    <w:p>
      <w:pPr>
        <w:spacing w:line="360" w:lineRule="auto"/>
        <w:rPr>
          <w:rFonts w:ascii="仿宋" w:hAnsi="仿宋" w:eastAsia="仿宋"/>
          <w:sz w:val="24"/>
          <w:szCs w:val="24"/>
        </w:rPr>
      </w:pPr>
      <w:r>
        <w:rPr>
          <w:rFonts w:ascii="仿宋" w:hAnsi="仿宋" w:eastAsia="仿宋"/>
          <w:sz w:val="24"/>
          <w:szCs w:val="24"/>
        </w:rPr>
        <w:t>主要起草单位：</w:t>
      </w:r>
      <w:r>
        <w:rPr>
          <w:rFonts w:hint="eastAsia" w:ascii="仿宋" w:hAnsi="仿宋" w:eastAsia="仿宋"/>
          <w:sz w:val="24"/>
          <w:szCs w:val="24"/>
        </w:rPr>
        <w:t>黄冈美丰化工科技有限公司</w:t>
      </w:r>
    </w:p>
    <w:p>
      <w:pPr>
        <w:spacing w:line="360" w:lineRule="auto"/>
        <w:rPr>
          <w:rFonts w:ascii="仿宋" w:hAnsi="仿宋" w:eastAsia="仿宋"/>
          <w:sz w:val="24"/>
          <w:szCs w:val="24"/>
        </w:rPr>
      </w:pPr>
      <w:r>
        <w:rPr>
          <w:rFonts w:ascii="仿宋" w:hAnsi="仿宋" w:eastAsia="仿宋"/>
          <w:sz w:val="24"/>
          <w:szCs w:val="24"/>
        </w:rPr>
        <w:t>协作起草单位：</w:t>
      </w:r>
      <w:r>
        <w:rPr>
          <w:rFonts w:hint="eastAsia" w:ascii="仿宋" w:hAnsi="仿宋" w:eastAsia="仿宋"/>
          <w:sz w:val="24"/>
          <w:szCs w:val="24"/>
        </w:rPr>
        <w:t>湖北美凯化工责任有限公司</w:t>
      </w:r>
    </w:p>
    <w:p>
      <w:pPr>
        <w:spacing w:line="360" w:lineRule="auto"/>
        <w:rPr>
          <w:rFonts w:ascii="仿宋" w:hAnsi="仿宋" w:eastAsia="仿宋"/>
          <w:sz w:val="24"/>
          <w:szCs w:val="24"/>
        </w:rPr>
      </w:pPr>
      <w:bookmarkStart w:id="0" w:name="_Hlk101808013"/>
      <w:r>
        <w:rPr>
          <w:rFonts w:hint="eastAsia" w:ascii="仿宋" w:hAnsi="仿宋" w:eastAsia="仿宋"/>
          <w:sz w:val="24"/>
          <w:szCs w:val="24"/>
        </w:rPr>
        <w:t xml:space="preserve">              黄石市食品药品</w:t>
      </w:r>
      <w:bookmarkEnd w:id="0"/>
      <w:r>
        <w:rPr>
          <w:rFonts w:hint="eastAsia" w:ascii="仿宋" w:hAnsi="仿宋" w:eastAsia="仿宋"/>
          <w:sz w:val="24"/>
          <w:szCs w:val="24"/>
        </w:rPr>
        <w:t>检验检测中心</w:t>
      </w:r>
    </w:p>
    <w:p>
      <w:pPr>
        <w:spacing w:line="360" w:lineRule="auto"/>
        <w:rPr>
          <w:rFonts w:ascii="仿宋" w:hAnsi="仿宋" w:eastAsia="仿宋"/>
          <w:sz w:val="24"/>
          <w:szCs w:val="24"/>
        </w:rPr>
      </w:pPr>
      <w:r>
        <w:rPr>
          <w:rFonts w:hint="eastAsia" w:ascii="仿宋" w:hAnsi="仿宋" w:eastAsia="仿宋"/>
          <w:sz w:val="24"/>
          <w:szCs w:val="24"/>
        </w:rPr>
        <w:t xml:space="preserve">              湖北师范大学</w:t>
      </w:r>
    </w:p>
    <w:p>
      <w:pPr>
        <w:spacing w:line="360" w:lineRule="auto"/>
        <w:rPr>
          <w:rFonts w:ascii="仿宋" w:hAnsi="仿宋" w:eastAsia="仿宋"/>
          <w:sz w:val="24"/>
          <w:szCs w:val="24"/>
        </w:rPr>
      </w:pPr>
      <w:r>
        <w:rPr>
          <w:rFonts w:hint="eastAsia" w:ascii="仿宋" w:hAnsi="仿宋" w:eastAsia="仿宋"/>
          <w:sz w:val="24"/>
          <w:szCs w:val="24"/>
        </w:rPr>
        <w:t xml:space="preserve">              湖北理工学院</w:t>
      </w:r>
    </w:p>
    <w:p>
      <w:pPr>
        <w:spacing w:line="360" w:lineRule="auto"/>
        <w:rPr>
          <w:rFonts w:ascii="仿宋" w:hAnsi="仿宋" w:eastAsia="仿宋"/>
          <w:sz w:val="24"/>
          <w:szCs w:val="24"/>
        </w:rPr>
      </w:pPr>
      <w:r>
        <w:rPr>
          <w:rFonts w:ascii="仿宋" w:hAnsi="仿宋" w:eastAsia="仿宋"/>
          <w:sz w:val="24"/>
          <w:szCs w:val="24"/>
        </w:rPr>
        <w:t>主要起草成员：</w:t>
      </w:r>
      <w:r>
        <w:rPr>
          <w:rFonts w:hint="eastAsia" w:ascii="仿宋" w:hAnsi="仿宋" w:eastAsia="仿宋"/>
          <w:sz w:val="24"/>
          <w:szCs w:val="24"/>
        </w:rPr>
        <w:t>曾诚、刘建军、刘豪、徐文立、卢忠勇、程莹、李华、宋强、马哲海、高胜明、洪</w:t>
      </w:r>
      <w:r>
        <w:rPr>
          <w:rFonts w:ascii="仿宋" w:hAnsi="仿宋" w:eastAsia="仿宋"/>
          <w:sz w:val="24"/>
          <w:szCs w:val="24"/>
        </w:rPr>
        <w:t>皓</w:t>
      </w:r>
      <w:r>
        <w:rPr>
          <w:rFonts w:hint="eastAsia" w:ascii="仿宋" w:hAnsi="仿宋" w:eastAsia="仿宋"/>
          <w:sz w:val="24"/>
          <w:szCs w:val="24"/>
        </w:rPr>
        <w:t>、翁小林、陈春宏、吴炜、万小攀。</w:t>
      </w:r>
    </w:p>
    <w:p>
      <w:pPr>
        <w:pStyle w:val="23"/>
        <w:numPr>
          <w:ilvl w:val="0"/>
          <w:numId w:val="1"/>
        </w:numPr>
        <w:spacing w:line="360" w:lineRule="auto"/>
        <w:ind w:firstLineChars="0"/>
        <w:rPr>
          <w:rFonts w:ascii="华文中宋" w:hAnsi="华文中宋" w:eastAsia="华文中宋"/>
          <w:bCs/>
          <w:sz w:val="24"/>
          <w:szCs w:val="24"/>
        </w:rPr>
      </w:pPr>
      <w:r>
        <w:rPr>
          <w:rFonts w:ascii="华文中宋" w:hAnsi="华文中宋" w:eastAsia="华文中宋"/>
          <w:bCs/>
          <w:sz w:val="24"/>
          <w:szCs w:val="24"/>
        </w:rPr>
        <w:t>主要工作过程</w:t>
      </w:r>
    </w:p>
    <w:p>
      <w:pPr>
        <w:spacing w:line="360" w:lineRule="auto"/>
        <w:ind w:firstLine="480" w:firstLineChars="200"/>
        <w:rPr>
          <w:rFonts w:ascii="仿宋" w:hAnsi="仿宋" w:eastAsia="仿宋"/>
          <w:sz w:val="24"/>
          <w:szCs w:val="24"/>
        </w:rPr>
      </w:pPr>
      <w:r>
        <w:rPr>
          <w:rFonts w:ascii="仿宋" w:hAnsi="仿宋" w:eastAsia="仿宋"/>
          <w:sz w:val="24"/>
          <w:szCs w:val="24"/>
        </w:rPr>
        <w:t>202</w:t>
      </w:r>
      <w:r>
        <w:rPr>
          <w:rFonts w:hint="eastAsia" w:ascii="仿宋" w:hAnsi="仿宋" w:eastAsia="仿宋"/>
          <w:sz w:val="24"/>
          <w:szCs w:val="24"/>
        </w:rPr>
        <w:t>1</w:t>
      </w:r>
      <w:r>
        <w:rPr>
          <w:rFonts w:ascii="仿宋" w:hAnsi="仿宋" w:eastAsia="仿宋"/>
          <w:sz w:val="24"/>
          <w:szCs w:val="24"/>
        </w:rPr>
        <w:t>年7月，</w:t>
      </w:r>
      <w:r>
        <w:rPr>
          <w:rFonts w:hint="eastAsia" w:ascii="仿宋" w:hAnsi="仿宋" w:eastAsia="仿宋"/>
          <w:sz w:val="24"/>
          <w:szCs w:val="24"/>
        </w:rPr>
        <w:t>黄冈美丰化工科技有限公司</w:t>
      </w:r>
      <w:r>
        <w:rPr>
          <w:rFonts w:ascii="仿宋" w:hAnsi="仿宋" w:eastAsia="仿宋"/>
          <w:sz w:val="24"/>
          <w:szCs w:val="24"/>
        </w:rPr>
        <w:t>作为立项申请人向中国香料香精化妆品工业协会</w:t>
      </w:r>
      <w:r>
        <w:rPr>
          <w:rFonts w:hint="eastAsia" w:ascii="仿宋" w:hAnsi="仿宋" w:eastAsia="仿宋"/>
          <w:sz w:val="24"/>
          <w:szCs w:val="24"/>
        </w:rPr>
        <w:t>提出</w:t>
      </w:r>
      <w:r>
        <w:rPr>
          <w:rFonts w:ascii="仿宋" w:hAnsi="仿宋" w:eastAsia="仿宋"/>
          <w:sz w:val="24"/>
          <w:szCs w:val="24"/>
        </w:rPr>
        <w:t>《</w:t>
      </w:r>
      <w:r>
        <w:rPr>
          <w:rFonts w:hint="eastAsia" w:ascii="仿宋" w:hAnsi="仿宋" w:eastAsia="仿宋"/>
          <w:sz w:val="24"/>
          <w:szCs w:val="24"/>
        </w:rPr>
        <w:t>化妆品用原料</w:t>
      </w:r>
      <w:r>
        <w:rPr>
          <w:rFonts w:ascii="仿宋" w:hAnsi="仿宋" w:eastAsia="仿宋"/>
          <w:sz w:val="24"/>
          <w:szCs w:val="24"/>
        </w:rPr>
        <w:t xml:space="preserve"> </w:t>
      </w:r>
      <w:r>
        <w:rPr>
          <w:rFonts w:hint="eastAsia" w:ascii="仿宋" w:hAnsi="仿宋" w:eastAsia="仿宋"/>
          <w:sz w:val="24"/>
          <w:szCs w:val="24"/>
        </w:rPr>
        <w:t>二乙氨羟苯甲酰基苯甲酸己酯</w:t>
      </w:r>
      <w:r>
        <w:rPr>
          <w:rFonts w:ascii="仿宋" w:hAnsi="仿宋" w:eastAsia="仿宋"/>
          <w:sz w:val="24"/>
          <w:szCs w:val="24"/>
        </w:rPr>
        <w:t>》团体标准立项</w:t>
      </w:r>
      <w:r>
        <w:rPr>
          <w:rFonts w:hint="eastAsia" w:ascii="仿宋" w:hAnsi="仿宋" w:eastAsia="仿宋"/>
          <w:sz w:val="24"/>
          <w:szCs w:val="24"/>
        </w:rPr>
        <w:t>提案</w:t>
      </w:r>
      <w:r>
        <w:rPr>
          <w:rFonts w:ascii="仿宋" w:hAnsi="仿宋" w:eastAsia="仿宋"/>
          <w:sz w:val="24"/>
          <w:szCs w:val="24"/>
        </w:rPr>
        <w:t>。</w:t>
      </w:r>
    </w:p>
    <w:p>
      <w:pPr>
        <w:spacing w:line="360" w:lineRule="auto"/>
        <w:ind w:firstLine="480" w:firstLineChars="200"/>
        <w:rPr>
          <w:rFonts w:ascii="仿宋" w:hAnsi="仿宋" w:eastAsia="仿宋"/>
          <w:sz w:val="24"/>
          <w:szCs w:val="24"/>
        </w:rPr>
      </w:pPr>
      <w:r>
        <w:rPr>
          <w:rFonts w:ascii="仿宋" w:hAnsi="仿宋" w:eastAsia="仿宋"/>
          <w:sz w:val="24"/>
          <w:szCs w:val="24"/>
        </w:rPr>
        <w:t>202</w:t>
      </w:r>
      <w:r>
        <w:rPr>
          <w:rFonts w:hint="eastAsia" w:ascii="仿宋" w:hAnsi="仿宋" w:eastAsia="仿宋"/>
          <w:sz w:val="24"/>
          <w:szCs w:val="24"/>
        </w:rPr>
        <w:t>1</w:t>
      </w:r>
      <w:r>
        <w:rPr>
          <w:rFonts w:ascii="仿宋" w:hAnsi="仿宋" w:eastAsia="仿宋"/>
          <w:sz w:val="24"/>
          <w:szCs w:val="24"/>
        </w:rPr>
        <w:t>年10月，经中国香料香精化妆品工业协会</w:t>
      </w:r>
      <w:r>
        <w:rPr>
          <w:rFonts w:hint="eastAsia" w:ascii="仿宋" w:hAnsi="仿宋" w:eastAsia="仿宋"/>
          <w:sz w:val="24"/>
          <w:szCs w:val="24"/>
        </w:rPr>
        <w:t>初审并</w:t>
      </w:r>
      <w:r>
        <w:rPr>
          <w:rFonts w:ascii="仿宋" w:hAnsi="仿宋" w:eastAsia="仿宋"/>
          <w:sz w:val="24"/>
          <w:szCs w:val="24"/>
        </w:rPr>
        <w:t>征求行业专家立项论证和审核，</w:t>
      </w:r>
      <w:bookmarkStart w:id="1" w:name="_Hlk101830087"/>
      <w:r>
        <w:rPr>
          <w:rFonts w:ascii="仿宋" w:hAnsi="仿宋" w:eastAsia="仿宋"/>
          <w:sz w:val="24"/>
          <w:szCs w:val="24"/>
        </w:rPr>
        <w:t>《</w:t>
      </w:r>
      <w:r>
        <w:rPr>
          <w:rFonts w:hint="eastAsia" w:ascii="仿宋" w:hAnsi="仿宋" w:eastAsia="仿宋"/>
          <w:sz w:val="24"/>
          <w:szCs w:val="24"/>
        </w:rPr>
        <w:t>化妆品用原料</w:t>
      </w:r>
      <w:r>
        <w:rPr>
          <w:rFonts w:ascii="仿宋" w:hAnsi="仿宋" w:eastAsia="仿宋"/>
          <w:sz w:val="24"/>
          <w:szCs w:val="24"/>
        </w:rPr>
        <w:t xml:space="preserve"> </w:t>
      </w:r>
      <w:r>
        <w:rPr>
          <w:rFonts w:hint="eastAsia" w:ascii="仿宋" w:hAnsi="仿宋" w:eastAsia="仿宋"/>
          <w:sz w:val="24"/>
          <w:szCs w:val="24"/>
        </w:rPr>
        <w:t>二乙氨羟苯甲酰基苯甲酸己酯</w:t>
      </w:r>
      <w:r>
        <w:rPr>
          <w:rFonts w:ascii="仿宋" w:hAnsi="仿宋" w:eastAsia="仿宋"/>
          <w:sz w:val="24"/>
          <w:szCs w:val="24"/>
        </w:rPr>
        <w:t>》</w:t>
      </w:r>
      <w:bookmarkEnd w:id="1"/>
      <w:r>
        <w:rPr>
          <w:rFonts w:ascii="仿宋" w:hAnsi="仿宋" w:eastAsia="仿宋"/>
          <w:sz w:val="24"/>
          <w:szCs w:val="24"/>
        </w:rPr>
        <w:t>团体标准正式获批立项，并在协会官方网站进行了为期15</w:t>
      </w:r>
      <w:r>
        <w:rPr>
          <w:rFonts w:hint="eastAsia" w:ascii="仿宋" w:hAnsi="仿宋" w:eastAsia="仿宋"/>
          <w:sz w:val="24"/>
          <w:szCs w:val="24"/>
        </w:rPr>
        <w:t>日</w:t>
      </w:r>
      <w:r>
        <w:rPr>
          <w:rFonts w:ascii="仿宋" w:hAnsi="仿宋" w:eastAsia="仿宋"/>
          <w:sz w:val="24"/>
          <w:szCs w:val="24"/>
        </w:rPr>
        <w:t>的公示。</w:t>
      </w:r>
    </w:p>
    <w:p>
      <w:pPr>
        <w:spacing w:line="360" w:lineRule="auto"/>
        <w:ind w:firstLine="480" w:firstLineChars="200"/>
        <w:rPr>
          <w:rFonts w:ascii="仿宋" w:hAnsi="仿宋" w:eastAsia="仿宋"/>
          <w:sz w:val="24"/>
          <w:szCs w:val="24"/>
        </w:rPr>
      </w:pPr>
      <w:r>
        <w:rPr>
          <w:rFonts w:ascii="仿宋" w:hAnsi="仿宋" w:eastAsia="仿宋"/>
          <w:sz w:val="24"/>
          <w:szCs w:val="24"/>
        </w:rPr>
        <w:t>2021年11月，</w:t>
      </w:r>
      <w:r>
        <w:rPr>
          <w:rFonts w:hint="eastAsia" w:ascii="仿宋" w:hAnsi="仿宋" w:eastAsia="仿宋"/>
          <w:sz w:val="24"/>
          <w:szCs w:val="24"/>
        </w:rPr>
        <w:t>黄冈美丰化工科技</w:t>
      </w:r>
      <w:r>
        <w:rPr>
          <w:rFonts w:ascii="仿宋" w:hAnsi="仿宋" w:eastAsia="仿宋"/>
          <w:sz w:val="24"/>
          <w:szCs w:val="24"/>
        </w:rPr>
        <w:t>有限公司作为立项</w:t>
      </w:r>
      <w:r>
        <w:rPr>
          <w:rFonts w:hint="eastAsia" w:ascii="仿宋" w:hAnsi="仿宋" w:eastAsia="仿宋"/>
          <w:sz w:val="24"/>
          <w:szCs w:val="24"/>
        </w:rPr>
        <w:t>单位</w:t>
      </w:r>
      <w:r>
        <w:rPr>
          <w:rFonts w:ascii="仿宋" w:hAnsi="仿宋" w:eastAsia="仿宋"/>
          <w:sz w:val="24"/>
          <w:szCs w:val="24"/>
        </w:rPr>
        <w:t>，联合</w:t>
      </w:r>
      <w:r>
        <w:rPr>
          <w:rFonts w:hint="eastAsia" w:ascii="仿宋" w:hAnsi="仿宋" w:eastAsia="仿宋"/>
          <w:sz w:val="24"/>
          <w:szCs w:val="24"/>
        </w:rPr>
        <w:t>湖北美凯化工责任有限公司、黄石市食品药品检测中心、湖北师范大学、湖北理工学院</w:t>
      </w:r>
      <w:r>
        <w:rPr>
          <w:rFonts w:ascii="仿宋" w:hAnsi="仿宋" w:eastAsia="仿宋"/>
          <w:sz w:val="24"/>
          <w:szCs w:val="24"/>
        </w:rPr>
        <w:t>成立团体标准起草小组</w:t>
      </w:r>
      <w:r>
        <w:rPr>
          <w:rFonts w:hint="eastAsia" w:ascii="仿宋" w:hAnsi="仿宋" w:eastAsia="仿宋"/>
          <w:sz w:val="24"/>
          <w:szCs w:val="24"/>
        </w:rPr>
        <w:t>，曾</w:t>
      </w:r>
      <w:r>
        <w:rPr>
          <w:rFonts w:ascii="仿宋" w:hAnsi="仿宋" w:eastAsia="仿宋"/>
          <w:sz w:val="24"/>
          <w:szCs w:val="24"/>
        </w:rPr>
        <w:t>诚</w:t>
      </w:r>
      <w:r>
        <w:rPr>
          <w:rFonts w:hint="eastAsia" w:ascii="仿宋" w:hAnsi="仿宋" w:eastAsia="仿宋"/>
          <w:sz w:val="24"/>
          <w:szCs w:val="24"/>
        </w:rPr>
        <w:t>同志任组长，刘建军、刘</w:t>
      </w:r>
      <w:r>
        <w:rPr>
          <w:rFonts w:ascii="仿宋" w:hAnsi="仿宋" w:eastAsia="仿宋"/>
          <w:sz w:val="24"/>
          <w:szCs w:val="24"/>
        </w:rPr>
        <w:t>豪、徐文立、卢忠勇、程莹、</w:t>
      </w:r>
      <w:r>
        <w:rPr>
          <w:rFonts w:hint="eastAsia" w:ascii="仿宋" w:hAnsi="仿宋" w:eastAsia="仿宋"/>
          <w:sz w:val="24"/>
          <w:szCs w:val="24"/>
        </w:rPr>
        <w:t>李华、宋强、马哲海</w:t>
      </w:r>
      <w:r>
        <w:rPr>
          <w:rFonts w:ascii="仿宋" w:hAnsi="仿宋" w:eastAsia="仿宋"/>
          <w:sz w:val="24"/>
          <w:szCs w:val="24"/>
        </w:rPr>
        <w:t>、高胜明、洪皓、翁小林、陈春宏、吴炜、万小攀</w:t>
      </w:r>
      <w:r>
        <w:rPr>
          <w:rFonts w:hint="eastAsia" w:ascii="仿宋" w:hAnsi="仿宋" w:eastAsia="仿宋"/>
          <w:sz w:val="24"/>
          <w:szCs w:val="24"/>
        </w:rPr>
        <w:t>等人为组员</w:t>
      </w:r>
      <w:r>
        <w:rPr>
          <w:rFonts w:ascii="仿宋" w:hAnsi="仿宋" w:eastAsia="仿宋"/>
          <w:sz w:val="24"/>
          <w:szCs w:val="24"/>
        </w:rPr>
        <w:t>。</w:t>
      </w:r>
    </w:p>
    <w:p>
      <w:pPr>
        <w:spacing w:line="360" w:lineRule="auto"/>
        <w:ind w:firstLine="480" w:firstLineChars="200"/>
        <w:rPr>
          <w:rFonts w:ascii="仿宋" w:hAnsi="仿宋" w:eastAsia="仿宋"/>
          <w:sz w:val="24"/>
          <w:szCs w:val="24"/>
        </w:rPr>
      </w:pPr>
      <w:r>
        <w:rPr>
          <w:rFonts w:ascii="仿宋" w:hAnsi="仿宋" w:eastAsia="仿宋"/>
          <w:sz w:val="24"/>
          <w:szCs w:val="24"/>
        </w:rPr>
        <w:t>2021年11月-2022</w:t>
      </w:r>
      <w:r>
        <w:rPr>
          <w:rFonts w:hint="eastAsia" w:ascii="仿宋" w:hAnsi="仿宋" w:eastAsia="仿宋"/>
          <w:sz w:val="24"/>
          <w:szCs w:val="24"/>
        </w:rPr>
        <w:t>年</w:t>
      </w:r>
      <w:r>
        <w:rPr>
          <w:rFonts w:ascii="仿宋" w:hAnsi="仿宋" w:eastAsia="仿宋"/>
          <w:sz w:val="24"/>
          <w:szCs w:val="24"/>
        </w:rPr>
        <w:t>4月，标准起草小组编制了工作计划，在</w:t>
      </w:r>
      <w:r>
        <w:rPr>
          <w:rFonts w:hint="eastAsia" w:ascii="仿宋" w:hAnsi="仿宋" w:eastAsia="仿宋"/>
          <w:sz w:val="24"/>
          <w:szCs w:val="24"/>
        </w:rPr>
        <w:t>收集《中华人民共和国药典》（2020年版）相关指标和检测方法，以及国内外行业相关标准，</w:t>
      </w:r>
      <w:r>
        <w:rPr>
          <w:rFonts w:ascii="仿宋" w:hAnsi="仿宋" w:eastAsia="仿宋"/>
          <w:sz w:val="24"/>
          <w:szCs w:val="24"/>
        </w:rPr>
        <w:t>国内外相关法律法规的基础上，</w:t>
      </w:r>
      <w:bookmarkStart w:id="2" w:name="OLE_LINK2"/>
      <w:r>
        <w:rPr>
          <w:rFonts w:hint="eastAsia" w:ascii="仿宋" w:hAnsi="仿宋" w:eastAsia="仿宋"/>
          <w:sz w:val="24"/>
          <w:szCs w:val="24"/>
        </w:rPr>
        <w:t>编制出《化妆品用原料</w:t>
      </w:r>
      <w:r>
        <w:rPr>
          <w:rFonts w:ascii="仿宋" w:hAnsi="仿宋" w:eastAsia="仿宋"/>
          <w:sz w:val="24"/>
          <w:szCs w:val="24"/>
        </w:rPr>
        <w:t xml:space="preserve"> </w:t>
      </w:r>
      <w:r>
        <w:rPr>
          <w:rFonts w:hint="eastAsia" w:ascii="仿宋" w:hAnsi="仿宋" w:eastAsia="仿宋"/>
          <w:sz w:val="24"/>
          <w:szCs w:val="24"/>
        </w:rPr>
        <w:t>二乙氨羟苯甲酰基苯甲酸己酯</w:t>
      </w:r>
      <w:r>
        <w:rPr>
          <w:rFonts w:ascii="仿宋" w:hAnsi="仿宋" w:eastAsia="仿宋"/>
          <w:sz w:val="24"/>
          <w:szCs w:val="24"/>
        </w:rPr>
        <w:t>》</w:t>
      </w:r>
      <w:r>
        <w:rPr>
          <w:rFonts w:hint="eastAsia" w:ascii="仿宋" w:hAnsi="仿宋" w:eastAsia="仿宋"/>
          <w:sz w:val="24"/>
          <w:szCs w:val="24"/>
        </w:rPr>
        <w:t>的标准初稿，2</w:t>
      </w:r>
      <w:r>
        <w:rPr>
          <w:rFonts w:ascii="仿宋" w:hAnsi="仿宋" w:eastAsia="仿宋"/>
          <w:sz w:val="24"/>
          <w:szCs w:val="24"/>
        </w:rPr>
        <w:t>022</w:t>
      </w:r>
      <w:r>
        <w:rPr>
          <w:rFonts w:hint="eastAsia" w:ascii="仿宋" w:hAnsi="仿宋" w:eastAsia="仿宋"/>
          <w:sz w:val="24"/>
          <w:szCs w:val="24"/>
        </w:rPr>
        <w:t>年</w:t>
      </w:r>
      <w:r>
        <w:rPr>
          <w:rFonts w:ascii="仿宋" w:hAnsi="仿宋" w:eastAsia="仿宋"/>
          <w:sz w:val="24"/>
          <w:szCs w:val="24"/>
        </w:rPr>
        <w:t>5</w:t>
      </w:r>
      <w:r>
        <w:rPr>
          <w:rFonts w:hint="eastAsia" w:ascii="仿宋" w:hAnsi="仿宋" w:eastAsia="仿宋"/>
          <w:sz w:val="24"/>
          <w:szCs w:val="24"/>
        </w:rPr>
        <w:t>月，经标准起草小组讨论，形成《化妆品用原料</w:t>
      </w:r>
      <w:r>
        <w:rPr>
          <w:rFonts w:ascii="仿宋" w:hAnsi="仿宋" w:eastAsia="仿宋"/>
          <w:sz w:val="24"/>
          <w:szCs w:val="24"/>
        </w:rPr>
        <w:t xml:space="preserve"> </w:t>
      </w:r>
      <w:r>
        <w:rPr>
          <w:rFonts w:hint="eastAsia" w:ascii="仿宋" w:hAnsi="仿宋" w:eastAsia="仿宋"/>
          <w:sz w:val="24"/>
          <w:szCs w:val="24"/>
        </w:rPr>
        <w:t>二乙氨羟苯甲酰基苯甲酸己酯</w:t>
      </w:r>
      <w:r>
        <w:rPr>
          <w:rFonts w:ascii="仿宋" w:hAnsi="仿宋" w:eastAsia="仿宋"/>
          <w:sz w:val="24"/>
          <w:szCs w:val="24"/>
        </w:rPr>
        <w:t>》标准征求意见稿及其编制说明</w:t>
      </w:r>
      <w:bookmarkEnd w:id="2"/>
      <w:r>
        <w:rPr>
          <w:rFonts w:hint="eastAsia" w:ascii="仿宋" w:hAnsi="仿宋" w:eastAsia="仿宋"/>
          <w:sz w:val="24"/>
          <w:szCs w:val="24"/>
        </w:rPr>
        <w:t>，由组长审核后报中国香料香精化妆品工业协会化妆品部</w:t>
      </w:r>
      <w:r>
        <w:rPr>
          <w:rFonts w:ascii="仿宋" w:hAnsi="仿宋" w:eastAsia="仿宋"/>
          <w:sz w:val="24"/>
          <w:szCs w:val="24"/>
        </w:rPr>
        <w:t>。</w:t>
      </w:r>
    </w:p>
    <w:p>
      <w:pPr>
        <w:numPr>
          <w:ilvl w:val="0"/>
          <w:numId w:val="2"/>
        </w:numPr>
        <w:spacing w:line="360" w:lineRule="auto"/>
        <w:rPr>
          <w:rFonts w:ascii="华文中宋" w:hAnsi="华文中宋" w:eastAsia="华文中宋" w:cs="华文中宋"/>
          <w:color w:val="000000"/>
          <w:sz w:val="24"/>
          <w:szCs w:val="24"/>
        </w:rPr>
      </w:pPr>
      <w:r>
        <w:rPr>
          <w:rFonts w:ascii="华文中宋" w:hAnsi="华文中宋" w:eastAsia="华文中宋" w:cs="Calibri"/>
          <w:color w:val="000000"/>
          <w:sz w:val="24"/>
          <w:szCs w:val="24"/>
        </w:rPr>
        <w:t> </w:t>
      </w:r>
      <w:r>
        <w:rPr>
          <w:rFonts w:hint="eastAsia" w:ascii="华文中宋" w:hAnsi="华文中宋" w:eastAsia="华文中宋" w:cs="华文中宋"/>
          <w:color w:val="000000"/>
          <w:sz w:val="24"/>
          <w:szCs w:val="24"/>
        </w:rPr>
        <w:t>与我国有关法律法规和其他标准的关系</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sz w:val="24"/>
          <w:szCs w:val="24"/>
        </w:rPr>
        <w:t>国内现没有二乙氨羟苯甲酰基苯甲酸己酯的相关的法律法规和其他标准。本标准指标参照《中华人民共和国药典》2020年版、</w:t>
      </w:r>
      <w:r>
        <w:rPr>
          <w:rFonts w:hint="eastAsia" w:ascii="仿宋" w:hAnsi="仿宋" w:eastAsia="仿宋" w:cs="仿宋"/>
          <w:kern w:val="0"/>
          <w:sz w:val="24"/>
          <w:szCs w:val="24"/>
        </w:rPr>
        <w:t>GB/T 22295－2008 《透明颜色测定法（加德纳色度）》等标准</w:t>
      </w:r>
      <w:r>
        <w:rPr>
          <w:rFonts w:hint="eastAsia" w:ascii="仿宋" w:hAnsi="仿宋" w:eastAsia="仿宋" w:cs="仿宋"/>
          <w:sz w:val="24"/>
          <w:szCs w:val="24"/>
        </w:rPr>
        <w:t>编制。</w:t>
      </w:r>
    </w:p>
    <w:p>
      <w:pPr>
        <w:pStyle w:val="8"/>
        <w:numPr>
          <w:ilvl w:val="0"/>
          <w:numId w:val="2"/>
        </w:numPr>
        <w:shd w:val="clear" w:color="auto" w:fill="FFFFFF"/>
        <w:spacing w:before="0" w:beforeAutospacing="0" w:after="0" w:afterAutospacing="0" w:line="360" w:lineRule="auto"/>
        <w:ind w:right="150"/>
        <w:rPr>
          <w:rFonts w:ascii="华文中宋" w:hAnsi="华文中宋" w:eastAsia="华文中宋"/>
          <w:bCs/>
          <w:color w:val="000000"/>
        </w:rPr>
      </w:pPr>
      <w:r>
        <w:rPr>
          <w:rFonts w:ascii="华文中宋" w:hAnsi="华文中宋" w:eastAsia="华文中宋" w:cs="Calibri"/>
          <w:bCs/>
          <w:color w:val="000000"/>
        </w:rPr>
        <w:t> </w:t>
      </w:r>
      <w:r>
        <w:rPr>
          <w:rFonts w:ascii="华文中宋" w:hAnsi="华文中宋" w:eastAsia="华文中宋"/>
          <w:bCs/>
          <w:color w:val="000000"/>
        </w:rPr>
        <w:t>国外有关法律、法规和标准情况的说明</w:t>
      </w:r>
    </w:p>
    <w:p>
      <w:pPr>
        <w:pStyle w:val="8"/>
        <w:shd w:val="clear" w:color="auto" w:fill="FFFFFF"/>
        <w:spacing w:before="0" w:beforeAutospacing="0" w:after="0" w:afterAutospacing="0" w:line="360" w:lineRule="auto"/>
        <w:ind w:right="150"/>
        <w:rPr>
          <w:rFonts w:ascii="仿宋" w:hAnsi="仿宋" w:eastAsia="仿宋"/>
          <w:color w:val="000000"/>
        </w:rPr>
      </w:pPr>
      <w:r>
        <w:rPr>
          <w:rFonts w:hint="eastAsia" w:ascii="仿宋" w:hAnsi="仿宋" w:eastAsia="仿宋"/>
          <w:bCs/>
          <w:color w:val="000000"/>
        </w:rPr>
        <w:t xml:space="preserve">    </w:t>
      </w:r>
      <w:r>
        <w:rPr>
          <w:rFonts w:hint="eastAsia" w:ascii="仿宋" w:hAnsi="仿宋" w:eastAsia="仿宋" w:cs="仿宋"/>
        </w:rPr>
        <w:t xml:space="preserve"> 无</w:t>
      </w:r>
    </w:p>
    <w:p>
      <w:pPr>
        <w:spacing w:line="360" w:lineRule="auto"/>
        <w:rPr>
          <w:rFonts w:ascii="华文中宋" w:hAnsi="华文中宋" w:eastAsia="华文中宋" w:cs="华文中宋"/>
          <w:sz w:val="24"/>
          <w:szCs w:val="24"/>
        </w:rPr>
      </w:pPr>
      <w:r>
        <w:rPr>
          <w:rFonts w:hint="eastAsia" w:ascii="华文中宋" w:hAnsi="华文中宋" w:eastAsia="华文中宋" w:cs="华文中宋"/>
          <w:sz w:val="24"/>
          <w:szCs w:val="24"/>
        </w:rPr>
        <w:t>四、标准的</w:t>
      </w:r>
      <w:r>
        <w:rPr>
          <w:rFonts w:hint="eastAsia" w:ascii="华文中宋" w:hAnsi="华文中宋" w:eastAsia="华文中宋" w:cs="华文中宋"/>
          <w:color w:val="000000"/>
          <w:sz w:val="24"/>
          <w:szCs w:val="24"/>
        </w:rPr>
        <w:t>制（修）订与起草原则</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本标准的制定符合产业发展的原则，本着先进性、科学性、合理性和可操作性的原则以及标准的目标、统一性、协调性、适用性、一致性和规范性原则来进行本标准的制定工作。</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本标准起草过程中，主要按 GB/T 1.1-2020《标准化工作导则 第一部分：标准化文件的结构和起草规则》进行编写。本标准制定过程中，主要参考了以下标准或文件：</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GB/T 6678  化工产品采样总则</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GB/T 6679  固体化工产品采样通则</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GB/T 6682  分析实验室用水规格和试验方法</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GB/T 191   包装储运图示标志</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GB/T 22295 透明颜色测定法（加德纳色度）</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QB/T 1684  化妆品检验规则</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QB/T 1685  化妆品产品包装外观要求</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JJF 1070   定量包装产品净含量计算检验规则</w:t>
      </w:r>
    </w:p>
    <w:p>
      <w:pPr>
        <w:pStyle w:val="25"/>
        <w:ind w:firstLine="315" w:firstLineChars="150"/>
        <w:rPr>
          <w:rFonts w:hAnsi="宋体" w:cs="宋体"/>
          <w:szCs w:val="21"/>
        </w:rPr>
      </w:pPr>
      <w:r>
        <w:rPr>
          <w:rFonts w:hint="eastAsia" w:hAnsi="宋体" w:cs="宋体"/>
          <w:szCs w:val="21"/>
        </w:rPr>
        <w:t>《</w:t>
      </w:r>
      <w:r>
        <w:rPr>
          <w:rFonts w:hint="eastAsia" w:ascii="仿宋" w:hAnsi="仿宋" w:eastAsia="仿宋" w:cs="仿宋"/>
          <w:sz w:val="24"/>
          <w:szCs w:val="24"/>
        </w:rPr>
        <w:t>化妆品安全技术规范》（</w:t>
      </w:r>
      <w:r>
        <w:rPr>
          <w:rFonts w:ascii="仿宋" w:hAnsi="仿宋" w:eastAsia="仿宋" w:cs="仿宋"/>
          <w:sz w:val="24"/>
          <w:szCs w:val="24"/>
        </w:rPr>
        <w:t xml:space="preserve">2015年版）（国家食品药品监督管理总局公告 2015 年第 268 </w:t>
      </w:r>
      <w:r>
        <w:rPr>
          <w:rFonts w:hint="eastAsia" w:ascii="仿宋" w:hAnsi="仿宋" w:eastAsia="仿宋" w:cs="仿宋"/>
          <w:sz w:val="24"/>
          <w:szCs w:val="24"/>
        </w:rPr>
        <w:t>号）</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《中华人民共和国药典》（2020年版）</w:t>
      </w:r>
    </w:p>
    <w:p>
      <w:pPr>
        <w:pStyle w:val="8"/>
        <w:shd w:val="clear" w:color="auto" w:fill="FFFFFF"/>
        <w:spacing w:before="0" w:beforeAutospacing="0" w:after="0" w:afterAutospacing="0" w:line="360" w:lineRule="auto"/>
        <w:rPr>
          <w:rFonts w:ascii="华文中宋" w:hAnsi="华文中宋" w:eastAsia="华文中宋" w:cs="华文中宋"/>
        </w:rPr>
      </w:pPr>
      <w:r>
        <w:rPr>
          <w:rFonts w:hint="eastAsia" w:ascii="华文中宋" w:hAnsi="华文中宋" w:eastAsia="华文中宋" w:cs="华文中宋"/>
          <w:kern w:val="2"/>
        </w:rPr>
        <w:t>五、确定各项技术内容（如技术指标、参数、公式、试验方法、检验规则等）的依据（与国际相关标准的对比情况，与国际标准不一致的，应当提供科学依据）</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sz w:val="24"/>
          <w:szCs w:val="24"/>
        </w:rPr>
        <w:t>国内现没有二乙氨羟苯甲酰基苯甲酸己酯的相关的法律法规和其他标准。本标准指标参照《中华人民共和国药典》2020年版、</w:t>
      </w:r>
      <w:r>
        <w:rPr>
          <w:rFonts w:hint="eastAsia" w:ascii="仿宋" w:hAnsi="仿宋" w:eastAsia="仿宋" w:cs="仿宋"/>
          <w:kern w:val="0"/>
          <w:sz w:val="24"/>
          <w:szCs w:val="24"/>
        </w:rPr>
        <w:t>GB/T 22295－2008 《透明颜色测定法（加德纳色度）》等标准</w:t>
      </w:r>
      <w:r>
        <w:rPr>
          <w:rFonts w:hint="eastAsia" w:ascii="仿宋" w:hAnsi="仿宋" w:eastAsia="仿宋" w:cs="仿宋"/>
          <w:sz w:val="24"/>
          <w:szCs w:val="24"/>
        </w:rPr>
        <w:t>编制。</w:t>
      </w:r>
    </w:p>
    <w:p>
      <w:pPr>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本标准涉及</w:t>
      </w:r>
      <w:r>
        <w:rPr>
          <w:rFonts w:hint="eastAsia" w:ascii="仿宋" w:hAnsi="仿宋" w:eastAsia="仿宋"/>
          <w:color w:val="000000"/>
          <w:sz w:val="24"/>
        </w:rPr>
        <w:t>外观、气味、加德纳色度、紫外-可见分光光度鉴别、吸光系数以及含量</w:t>
      </w:r>
      <w:r>
        <w:rPr>
          <w:rFonts w:hint="eastAsia" w:ascii="仿宋" w:hAnsi="仿宋" w:eastAsia="仿宋" w:cs="仿宋"/>
          <w:kern w:val="0"/>
          <w:sz w:val="24"/>
          <w:szCs w:val="24"/>
        </w:rPr>
        <w:t>指标，由于国内没有相关标准，故本标准技术指标根据该产品的理化性质及《中华人民共和国药典》（</w:t>
      </w:r>
      <w:r>
        <w:rPr>
          <w:rFonts w:ascii="仿宋" w:hAnsi="仿宋" w:eastAsia="仿宋" w:cs="仿宋"/>
          <w:kern w:val="0"/>
          <w:sz w:val="24"/>
          <w:szCs w:val="24"/>
        </w:rPr>
        <w:t>2020年版）凡例</w:t>
      </w:r>
      <w:r>
        <w:rPr>
          <w:rFonts w:hint="eastAsia" w:ascii="仿宋" w:hAnsi="仿宋" w:eastAsia="仿宋" w:cs="仿宋"/>
          <w:kern w:val="0"/>
          <w:sz w:val="24"/>
          <w:szCs w:val="24"/>
        </w:rPr>
        <w:t>、通则，以及相关国标</w:t>
      </w:r>
      <w:r>
        <w:rPr>
          <w:rFonts w:ascii="仿宋" w:hAnsi="仿宋" w:eastAsia="仿宋" w:cs="仿宋"/>
          <w:kern w:val="0"/>
          <w:sz w:val="24"/>
          <w:szCs w:val="24"/>
        </w:rPr>
        <w:t>，选择适合于</w:t>
      </w:r>
      <w:r>
        <w:rPr>
          <w:rFonts w:hint="eastAsia" w:ascii="仿宋" w:hAnsi="仿宋" w:eastAsia="仿宋" w:cs="仿宋"/>
          <w:kern w:val="0"/>
          <w:sz w:val="24"/>
          <w:szCs w:val="24"/>
        </w:rPr>
        <w:t>二乙氨羟苯甲酰基苯甲酸己酯</w:t>
      </w:r>
      <w:r>
        <w:rPr>
          <w:rFonts w:ascii="仿宋" w:hAnsi="仿宋" w:eastAsia="仿宋" w:cs="仿宋"/>
          <w:kern w:val="0"/>
          <w:sz w:val="24"/>
          <w:szCs w:val="24"/>
        </w:rPr>
        <w:t>质量控制的技术指标和参数。</w:t>
      </w:r>
    </w:p>
    <w:p>
      <w:pPr>
        <w:spacing w:line="360" w:lineRule="auto"/>
        <w:ind w:firstLine="480" w:firstLineChars="200"/>
        <w:rPr>
          <w:rFonts w:ascii="仿宋" w:hAnsi="仿宋" w:eastAsia="仿宋"/>
          <w:color w:val="000000"/>
          <w:sz w:val="24"/>
        </w:rPr>
      </w:pPr>
      <w:r>
        <w:rPr>
          <w:rFonts w:hint="eastAsia" w:ascii="仿宋" w:hAnsi="仿宋" w:eastAsia="仿宋" w:cs="仿宋"/>
          <w:kern w:val="0"/>
          <w:sz w:val="24"/>
          <w:szCs w:val="24"/>
        </w:rPr>
        <w:t>其中，</w:t>
      </w:r>
      <w:r>
        <w:rPr>
          <w:rFonts w:hint="eastAsia" w:ascii="仿宋" w:hAnsi="仿宋" w:eastAsia="仿宋"/>
          <w:color w:val="000000"/>
          <w:sz w:val="24"/>
        </w:rPr>
        <w:t>外观、气味、紫外-可见分光光度鉴别、吸光系数以及含量</w:t>
      </w:r>
      <w:r>
        <w:rPr>
          <w:rFonts w:hint="eastAsia" w:ascii="仿宋" w:hAnsi="仿宋" w:eastAsia="仿宋" w:cs="仿宋"/>
          <w:kern w:val="0"/>
          <w:sz w:val="24"/>
          <w:szCs w:val="24"/>
        </w:rPr>
        <w:t>指标试验方法和检验规则参照《中华人民共和国药典》（</w:t>
      </w:r>
      <w:r>
        <w:rPr>
          <w:rFonts w:ascii="仿宋" w:hAnsi="仿宋" w:eastAsia="仿宋" w:cs="仿宋"/>
          <w:kern w:val="0"/>
          <w:sz w:val="24"/>
          <w:szCs w:val="24"/>
        </w:rPr>
        <w:t>2020年版）</w:t>
      </w:r>
      <w:r>
        <w:rPr>
          <w:rFonts w:hint="eastAsia" w:ascii="仿宋" w:hAnsi="仿宋" w:eastAsia="仿宋" w:cs="仿宋"/>
          <w:kern w:val="0"/>
          <w:sz w:val="24"/>
          <w:szCs w:val="24"/>
        </w:rPr>
        <w:t>编制；</w:t>
      </w:r>
      <w:r>
        <w:rPr>
          <w:rFonts w:hint="eastAsia" w:ascii="仿宋" w:hAnsi="仿宋" w:eastAsia="仿宋"/>
          <w:color w:val="000000"/>
          <w:sz w:val="24"/>
        </w:rPr>
        <w:t>加德纳色度参照</w:t>
      </w:r>
      <w:r>
        <w:rPr>
          <w:rFonts w:hint="eastAsia" w:ascii="仿宋" w:hAnsi="仿宋" w:eastAsia="仿宋" w:cs="仿宋"/>
          <w:kern w:val="0"/>
          <w:sz w:val="24"/>
          <w:szCs w:val="24"/>
        </w:rPr>
        <w:t>GB/T 22295－2008 《透明颜色测定法（加德纳色度）》</w:t>
      </w:r>
      <w:r>
        <w:rPr>
          <w:rFonts w:hint="eastAsia" w:ascii="仿宋" w:hAnsi="仿宋" w:eastAsia="仿宋"/>
          <w:color w:val="000000"/>
          <w:sz w:val="24"/>
        </w:rPr>
        <w:t>编制，具体见下表：</w:t>
      </w:r>
    </w:p>
    <w:tbl>
      <w:tblPr>
        <w:tblStyle w:val="10"/>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75"/>
        <w:gridCol w:w="1311"/>
        <w:gridCol w:w="1548"/>
        <w:gridCol w:w="2743"/>
        <w:gridCol w:w="21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224" w:type="pct"/>
            <w:gridSpan w:val="2"/>
            <w:vAlign w:val="center"/>
          </w:tcPr>
          <w:p>
            <w:pPr>
              <w:jc w:val="center"/>
              <w:rPr>
                <w:rFonts w:ascii="仿宋" w:hAnsi="仿宋" w:eastAsia="仿宋" w:cs="宋体"/>
                <w:color w:val="000000"/>
                <w:sz w:val="18"/>
                <w:szCs w:val="18"/>
              </w:rPr>
            </w:pPr>
            <w:r>
              <w:rPr>
                <w:rFonts w:hint="eastAsia" w:ascii="仿宋" w:hAnsi="仿宋" w:eastAsia="仿宋" w:cs="宋体"/>
                <w:color w:val="000000"/>
                <w:sz w:val="18"/>
                <w:szCs w:val="18"/>
              </w:rPr>
              <w:t>项目</w:t>
            </w:r>
          </w:p>
        </w:tc>
        <w:tc>
          <w:tcPr>
            <w:tcW w:w="908" w:type="pct"/>
            <w:vAlign w:val="center"/>
          </w:tcPr>
          <w:p>
            <w:pPr>
              <w:jc w:val="center"/>
              <w:rPr>
                <w:rFonts w:ascii="仿宋" w:hAnsi="仿宋" w:eastAsia="仿宋" w:cs="宋体"/>
                <w:color w:val="000000"/>
                <w:sz w:val="18"/>
                <w:szCs w:val="18"/>
              </w:rPr>
            </w:pPr>
            <w:r>
              <w:rPr>
                <w:rFonts w:hint="eastAsia" w:ascii="仿宋" w:hAnsi="仿宋" w:eastAsia="仿宋" w:cs="宋体"/>
                <w:color w:val="000000"/>
                <w:sz w:val="18"/>
                <w:szCs w:val="18"/>
              </w:rPr>
              <w:t>要求</w:t>
            </w:r>
          </w:p>
        </w:tc>
        <w:tc>
          <w:tcPr>
            <w:tcW w:w="1609" w:type="pct"/>
            <w:vAlign w:val="center"/>
          </w:tcPr>
          <w:p>
            <w:pPr>
              <w:jc w:val="center"/>
              <w:rPr>
                <w:rFonts w:ascii="仿宋" w:hAnsi="仿宋" w:eastAsia="仿宋" w:cs="宋体"/>
                <w:color w:val="000000"/>
                <w:sz w:val="18"/>
                <w:szCs w:val="18"/>
              </w:rPr>
            </w:pPr>
            <w:r>
              <w:rPr>
                <w:rFonts w:hint="eastAsia" w:ascii="仿宋" w:hAnsi="仿宋" w:eastAsia="仿宋" w:cs="宋体"/>
                <w:color w:val="000000"/>
                <w:sz w:val="18"/>
                <w:szCs w:val="18"/>
              </w:rPr>
              <w:t>指标制定的依据</w:t>
            </w:r>
          </w:p>
        </w:tc>
        <w:tc>
          <w:tcPr>
            <w:tcW w:w="1258" w:type="pct"/>
            <w:vAlign w:val="center"/>
          </w:tcPr>
          <w:p>
            <w:pPr>
              <w:jc w:val="center"/>
              <w:rPr>
                <w:rFonts w:ascii="仿宋" w:hAnsi="仿宋" w:eastAsia="仿宋" w:cs="宋体"/>
                <w:color w:val="000000"/>
                <w:sz w:val="18"/>
                <w:szCs w:val="18"/>
              </w:rPr>
            </w:pPr>
            <w:r>
              <w:rPr>
                <w:rFonts w:hint="eastAsia" w:ascii="仿宋" w:hAnsi="仿宋" w:eastAsia="仿宋" w:cs="宋体"/>
                <w:color w:val="000000"/>
                <w:sz w:val="18"/>
                <w:szCs w:val="18"/>
              </w:rPr>
              <w:t>中国药典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8" w:hRule="atLeast"/>
          <w:jc w:val="center"/>
        </w:trPr>
        <w:tc>
          <w:tcPr>
            <w:tcW w:w="455" w:type="pct"/>
            <w:vMerge w:val="restart"/>
            <w:vAlign w:val="center"/>
          </w:tcPr>
          <w:p>
            <w:pPr>
              <w:jc w:val="center"/>
              <w:rPr>
                <w:rFonts w:ascii="仿宋" w:hAnsi="仿宋" w:eastAsia="仿宋" w:cs="宋体"/>
                <w:color w:val="000000"/>
                <w:sz w:val="18"/>
                <w:szCs w:val="18"/>
              </w:rPr>
            </w:pPr>
            <w:r>
              <w:rPr>
                <w:rFonts w:hint="eastAsia" w:ascii="仿宋" w:hAnsi="仿宋" w:eastAsia="仿宋" w:cs="宋体"/>
                <w:color w:val="000000"/>
                <w:sz w:val="18"/>
                <w:szCs w:val="18"/>
              </w:rPr>
              <w:t>理化指标</w:t>
            </w:r>
          </w:p>
        </w:tc>
        <w:tc>
          <w:tcPr>
            <w:tcW w:w="769" w:type="pct"/>
            <w:vAlign w:val="center"/>
          </w:tcPr>
          <w:p>
            <w:pPr>
              <w:jc w:val="center"/>
              <w:rPr>
                <w:rFonts w:ascii="仿宋" w:hAnsi="仿宋" w:eastAsia="仿宋" w:cs="宋体"/>
                <w:color w:val="000000"/>
                <w:sz w:val="18"/>
                <w:szCs w:val="18"/>
              </w:rPr>
            </w:pPr>
            <w:r>
              <w:rPr>
                <w:rFonts w:hint="eastAsia" w:ascii="仿宋" w:hAnsi="仿宋" w:eastAsia="仿宋" w:cs="宋体"/>
                <w:color w:val="000000"/>
                <w:sz w:val="18"/>
                <w:szCs w:val="18"/>
              </w:rPr>
              <w:t>鉴别（紫外</w:t>
            </w:r>
            <w:r>
              <w:rPr>
                <w:rFonts w:ascii="仿宋" w:hAnsi="仿宋" w:eastAsia="仿宋" w:cs="宋体"/>
                <w:color w:val="000000"/>
                <w:sz w:val="18"/>
                <w:szCs w:val="18"/>
              </w:rPr>
              <w:t>-可见分光光度法）</w:t>
            </w:r>
          </w:p>
        </w:tc>
        <w:tc>
          <w:tcPr>
            <w:tcW w:w="908" w:type="pct"/>
            <w:vAlign w:val="center"/>
          </w:tcPr>
          <w:p>
            <w:pPr>
              <w:ind w:firstLine="90" w:firstLineChars="50"/>
              <w:jc w:val="center"/>
              <w:rPr>
                <w:rFonts w:ascii="仿宋" w:hAnsi="仿宋" w:eastAsia="仿宋" w:cs="宋体"/>
                <w:color w:val="000000"/>
                <w:sz w:val="18"/>
                <w:szCs w:val="18"/>
              </w:rPr>
            </w:pPr>
            <w:r>
              <w:rPr>
                <w:rFonts w:hint="eastAsia" w:ascii="仿宋" w:hAnsi="仿宋" w:eastAsia="仿宋" w:cs="宋体"/>
                <w:color w:val="000000"/>
                <w:sz w:val="18"/>
                <w:szCs w:val="18"/>
              </w:rPr>
              <w:t>最大吸收波长</w:t>
            </w:r>
            <w:r>
              <w:rPr>
                <w:rFonts w:ascii="仿宋" w:hAnsi="仿宋" w:eastAsia="仿宋" w:cs="宋体"/>
                <w:color w:val="000000"/>
                <w:sz w:val="18"/>
                <w:szCs w:val="18"/>
              </w:rPr>
              <w:t>352 nm～356 nm</w:t>
            </w:r>
          </w:p>
        </w:tc>
        <w:tc>
          <w:tcPr>
            <w:tcW w:w="1609" w:type="pct"/>
            <w:vAlign w:val="center"/>
          </w:tcPr>
          <w:p>
            <w:pPr>
              <w:ind w:firstLine="90" w:firstLineChars="50"/>
              <w:jc w:val="center"/>
              <w:rPr>
                <w:rFonts w:ascii="仿宋" w:hAnsi="仿宋" w:eastAsia="仿宋" w:cs="宋体"/>
                <w:color w:val="000000"/>
                <w:sz w:val="18"/>
                <w:szCs w:val="18"/>
              </w:rPr>
            </w:pPr>
            <w:r>
              <w:rPr>
                <w:rFonts w:hint="eastAsia" w:ascii="仿宋" w:hAnsi="仿宋" w:eastAsia="仿宋"/>
                <w:color w:val="000000"/>
                <w:sz w:val="18"/>
                <w:szCs w:val="18"/>
              </w:rPr>
              <w:t>本品为紫外线吸收剂，目前无官方标准物质，故选择检测其在紫外光区的最大吸收波长作为鉴别项目。</w:t>
            </w:r>
          </w:p>
        </w:tc>
        <w:tc>
          <w:tcPr>
            <w:tcW w:w="1258" w:type="pct"/>
            <w:vAlign w:val="center"/>
          </w:tcPr>
          <w:p>
            <w:pPr>
              <w:ind w:firstLine="90" w:firstLineChars="50"/>
              <w:jc w:val="center"/>
              <w:rPr>
                <w:rFonts w:ascii="仿宋" w:hAnsi="仿宋" w:eastAsia="仿宋"/>
                <w:color w:val="000000"/>
                <w:sz w:val="18"/>
                <w:szCs w:val="18"/>
              </w:rPr>
            </w:pPr>
            <w:r>
              <w:rPr>
                <w:rFonts w:ascii="仿宋" w:hAnsi="仿宋" w:eastAsia="仿宋"/>
                <w:color w:val="000000"/>
                <w:sz w:val="18"/>
                <w:szCs w:val="18"/>
              </w:rPr>
              <w:t>通则0401</w:t>
            </w:r>
          </w:p>
          <w:p>
            <w:pPr>
              <w:ind w:firstLine="90" w:firstLineChars="50"/>
              <w:jc w:val="center"/>
              <w:rPr>
                <w:rFonts w:ascii="仿宋" w:hAnsi="仿宋" w:eastAsia="仿宋" w:cs="宋体"/>
                <w:color w:val="000000"/>
                <w:sz w:val="18"/>
                <w:szCs w:val="18"/>
              </w:rPr>
            </w:pPr>
            <w:r>
              <w:rPr>
                <w:rFonts w:hint="eastAsia" w:ascii="仿宋" w:hAnsi="仿宋" w:eastAsia="仿宋"/>
                <w:color w:val="000000"/>
                <w:sz w:val="18"/>
                <w:szCs w:val="18"/>
              </w:rPr>
              <w:t>紫外</w:t>
            </w:r>
            <w:r>
              <w:rPr>
                <w:rFonts w:ascii="仿宋" w:hAnsi="仿宋" w:eastAsia="仿宋"/>
                <w:color w:val="000000"/>
                <w:sz w:val="18"/>
                <w:szCs w:val="18"/>
              </w:rPr>
              <w:t>-可见分光光度法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8" w:hRule="atLeast"/>
          <w:jc w:val="center"/>
        </w:trPr>
        <w:tc>
          <w:tcPr>
            <w:tcW w:w="455" w:type="pct"/>
            <w:vMerge w:val="continue"/>
            <w:vAlign w:val="center"/>
          </w:tcPr>
          <w:p>
            <w:pPr>
              <w:jc w:val="center"/>
              <w:rPr>
                <w:rFonts w:ascii="仿宋" w:hAnsi="仿宋" w:eastAsia="仿宋" w:cs="宋体"/>
                <w:color w:val="000000"/>
                <w:sz w:val="18"/>
                <w:szCs w:val="18"/>
              </w:rPr>
            </w:pPr>
          </w:p>
        </w:tc>
        <w:tc>
          <w:tcPr>
            <w:tcW w:w="769" w:type="pct"/>
            <w:vAlign w:val="center"/>
          </w:tcPr>
          <w:p>
            <w:pPr>
              <w:ind w:right="71" w:rightChars="34"/>
              <w:jc w:val="center"/>
              <w:rPr>
                <w:rFonts w:ascii="仿宋" w:hAnsi="仿宋" w:eastAsia="仿宋" w:cs="宋体"/>
                <w:color w:val="000000"/>
                <w:sz w:val="18"/>
                <w:szCs w:val="18"/>
              </w:rPr>
            </w:pPr>
            <w:r>
              <w:rPr>
                <w:rFonts w:hint="eastAsia" w:ascii="仿宋" w:hAnsi="仿宋" w:eastAsia="仿宋" w:cs="宋体"/>
                <w:color w:val="000000"/>
                <w:sz w:val="18"/>
                <w:szCs w:val="18"/>
              </w:rPr>
              <w:t>吸光系数</w:t>
            </w:r>
          </w:p>
        </w:tc>
        <w:tc>
          <w:tcPr>
            <w:tcW w:w="908" w:type="pct"/>
            <w:vAlign w:val="center"/>
          </w:tcPr>
          <w:p>
            <w:pPr>
              <w:ind w:firstLine="90" w:firstLineChars="50"/>
              <w:jc w:val="center"/>
              <w:rPr>
                <w:rFonts w:ascii="仿宋" w:hAnsi="仿宋" w:eastAsia="仿宋" w:cs="宋体"/>
                <w:color w:val="000000"/>
                <w:sz w:val="18"/>
                <w:szCs w:val="18"/>
              </w:rPr>
            </w:pPr>
            <m:oMath>
              <m:sSub>
                <m:sSubPr>
                  <m:ctrlPr>
                    <w:rPr>
                      <w:rFonts w:ascii="Cambria Math" w:hAnsi="Cambria Math" w:eastAsia="仿宋" w:cs="宋体"/>
                      <w:i/>
                      <w:color w:val="000000"/>
                      <w:sz w:val="18"/>
                      <w:szCs w:val="18"/>
                    </w:rPr>
                  </m:ctrlPr>
                </m:sSubPr>
                <m:e>
                  <m:r>
                    <m:rPr/>
                    <w:rPr>
                      <w:rFonts w:ascii="Cambria Math" w:hAnsi="Cambria Math" w:eastAsia="仿宋" w:cs="宋体"/>
                      <w:color w:val="000000"/>
                      <w:sz w:val="18"/>
                      <w:szCs w:val="18"/>
                    </w:rPr>
                    <m:t>E</m:t>
                  </m:r>
                  <m:ctrlPr>
                    <w:rPr>
                      <w:rFonts w:ascii="Cambria Math" w:hAnsi="Cambria Math" w:eastAsia="仿宋" w:cs="宋体"/>
                      <w:i/>
                      <w:color w:val="000000"/>
                      <w:sz w:val="18"/>
                      <w:szCs w:val="18"/>
                    </w:rPr>
                  </m:ctrlPr>
                </m:e>
                <m:sub>
                  <m:r>
                    <m:rPr/>
                    <w:rPr>
                      <w:rFonts w:ascii="Cambria Math" w:hAnsi="Cambria Math" w:eastAsia="仿宋" w:cs="宋体"/>
                      <w:color w:val="000000"/>
                      <w:sz w:val="18"/>
                      <w:szCs w:val="18"/>
                    </w:rPr>
                    <m:t>354</m:t>
                  </m:r>
                  <m:ctrlPr>
                    <w:rPr>
                      <w:rFonts w:ascii="Cambria Math" w:hAnsi="Cambria Math" w:eastAsia="仿宋" w:cs="宋体"/>
                      <w:i/>
                      <w:color w:val="000000"/>
                      <w:sz w:val="18"/>
                      <w:szCs w:val="18"/>
                    </w:rPr>
                  </m:ctrlPr>
                </m:sub>
              </m:sSub>
            </m:oMath>
            <w:r>
              <w:rPr>
                <w:rFonts w:hint="eastAsia" w:ascii="仿宋" w:hAnsi="仿宋" w:eastAsia="仿宋" w:cs="宋体"/>
                <w:color w:val="000000"/>
                <w:sz w:val="18"/>
                <w:szCs w:val="18"/>
              </w:rPr>
              <w:t>：</w:t>
            </w:r>
            <w:r>
              <w:rPr>
                <w:rFonts w:ascii="仿宋" w:hAnsi="仿宋" w:eastAsia="仿宋" w:cs="宋体"/>
                <w:color w:val="000000"/>
                <w:sz w:val="18"/>
                <w:szCs w:val="18"/>
              </w:rPr>
              <w:t>910</w:t>
            </w:r>
            <w:bookmarkStart w:id="3" w:name="_Hlk102400844"/>
            <w:r>
              <w:rPr>
                <w:rFonts w:hint="eastAsia" w:ascii="仿宋" w:hAnsi="仿宋" w:eastAsia="仿宋" w:cs="宋体"/>
                <w:color w:val="000000"/>
                <w:sz w:val="18"/>
                <w:szCs w:val="18"/>
              </w:rPr>
              <w:t>～</w:t>
            </w:r>
            <w:bookmarkEnd w:id="3"/>
            <w:r>
              <w:rPr>
                <w:rFonts w:ascii="仿宋" w:hAnsi="仿宋" w:eastAsia="仿宋" w:cs="宋体"/>
                <w:color w:val="000000"/>
                <w:sz w:val="18"/>
                <w:szCs w:val="18"/>
              </w:rPr>
              <w:t>940</w:t>
            </w:r>
          </w:p>
        </w:tc>
        <w:tc>
          <w:tcPr>
            <w:tcW w:w="1609" w:type="pct"/>
            <w:vAlign w:val="center"/>
          </w:tcPr>
          <w:p>
            <w:pPr>
              <w:ind w:firstLine="90" w:firstLineChars="50"/>
              <w:jc w:val="center"/>
              <w:rPr>
                <w:rFonts w:ascii="仿宋" w:hAnsi="仿宋" w:eastAsia="仿宋"/>
                <w:color w:val="000000"/>
                <w:sz w:val="18"/>
                <w:szCs w:val="18"/>
              </w:rPr>
            </w:pPr>
            <w:r>
              <w:rPr>
                <w:rFonts w:hint="eastAsia" w:ascii="仿宋" w:hAnsi="仿宋" w:eastAsia="仿宋"/>
                <w:color w:val="000000"/>
                <w:sz w:val="18"/>
                <w:szCs w:val="18"/>
              </w:rPr>
              <w:t>本品纯物质在特定波长下的吸收系数是固定的，以此特性用于鉴别和指示产品纯度。</w:t>
            </w:r>
          </w:p>
        </w:tc>
        <w:tc>
          <w:tcPr>
            <w:tcW w:w="1258" w:type="pct"/>
            <w:vAlign w:val="center"/>
          </w:tcPr>
          <w:p>
            <w:pPr>
              <w:ind w:firstLine="90" w:firstLineChars="50"/>
              <w:jc w:val="center"/>
              <w:rPr>
                <w:rFonts w:ascii="仿宋" w:hAnsi="仿宋" w:eastAsia="仿宋"/>
                <w:color w:val="000000"/>
                <w:sz w:val="18"/>
                <w:szCs w:val="18"/>
              </w:rPr>
            </w:pPr>
            <w:r>
              <w:rPr>
                <w:rFonts w:ascii="仿宋" w:hAnsi="仿宋" w:eastAsia="仿宋"/>
                <w:color w:val="000000"/>
                <w:sz w:val="18"/>
                <w:szCs w:val="18"/>
              </w:rPr>
              <w:t>通则0401</w:t>
            </w:r>
          </w:p>
          <w:p>
            <w:pPr>
              <w:ind w:firstLine="90" w:firstLineChars="50"/>
              <w:jc w:val="center"/>
              <w:rPr>
                <w:rFonts w:ascii="仿宋" w:hAnsi="仿宋" w:eastAsia="仿宋"/>
                <w:color w:val="000000"/>
                <w:sz w:val="18"/>
                <w:szCs w:val="18"/>
              </w:rPr>
            </w:pPr>
            <w:r>
              <w:rPr>
                <w:rFonts w:hint="eastAsia" w:ascii="仿宋" w:hAnsi="仿宋" w:eastAsia="仿宋"/>
                <w:color w:val="000000"/>
                <w:sz w:val="18"/>
                <w:szCs w:val="18"/>
              </w:rPr>
              <w:t>紫外</w:t>
            </w:r>
            <w:r>
              <w:rPr>
                <w:rFonts w:ascii="仿宋" w:hAnsi="仿宋" w:eastAsia="仿宋"/>
                <w:color w:val="000000"/>
                <w:sz w:val="18"/>
                <w:szCs w:val="18"/>
              </w:rPr>
              <w:t>-可见分光光度法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8" w:hRule="atLeast"/>
          <w:jc w:val="center"/>
        </w:trPr>
        <w:tc>
          <w:tcPr>
            <w:tcW w:w="455" w:type="pct"/>
            <w:vMerge w:val="continue"/>
            <w:vAlign w:val="center"/>
          </w:tcPr>
          <w:p>
            <w:pPr>
              <w:jc w:val="center"/>
              <w:rPr>
                <w:rFonts w:ascii="仿宋" w:hAnsi="仿宋" w:eastAsia="仿宋" w:cs="宋体"/>
                <w:color w:val="000000"/>
                <w:sz w:val="18"/>
                <w:szCs w:val="18"/>
              </w:rPr>
            </w:pPr>
          </w:p>
        </w:tc>
        <w:tc>
          <w:tcPr>
            <w:tcW w:w="769" w:type="pct"/>
            <w:vAlign w:val="center"/>
          </w:tcPr>
          <w:p>
            <w:pPr>
              <w:jc w:val="center"/>
              <w:rPr>
                <w:rFonts w:ascii="仿宋" w:hAnsi="仿宋" w:eastAsia="仿宋" w:cs="宋体"/>
                <w:color w:val="000000"/>
                <w:sz w:val="18"/>
                <w:szCs w:val="18"/>
              </w:rPr>
            </w:pPr>
            <w:r>
              <w:rPr>
                <w:rFonts w:hint="eastAsia" w:ascii="仿宋" w:hAnsi="仿宋" w:eastAsia="仿宋" w:cs="宋体"/>
                <w:color w:val="000000"/>
                <w:sz w:val="18"/>
                <w:szCs w:val="18"/>
              </w:rPr>
              <w:t>加德纳色度</w:t>
            </w:r>
          </w:p>
        </w:tc>
        <w:tc>
          <w:tcPr>
            <w:tcW w:w="908" w:type="pct"/>
            <w:vAlign w:val="center"/>
          </w:tcPr>
          <w:p>
            <w:pPr>
              <w:jc w:val="center"/>
              <w:rPr>
                <w:rFonts w:ascii="仿宋" w:hAnsi="仿宋" w:eastAsia="仿宋" w:cs="宋体"/>
                <w:color w:val="000000"/>
                <w:sz w:val="18"/>
                <w:szCs w:val="18"/>
              </w:rPr>
            </w:pPr>
            <w:r>
              <w:rPr>
                <w:rFonts w:hint="eastAsia" w:ascii="仿宋" w:hAnsi="仿宋" w:eastAsia="仿宋" w:cs="宋体"/>
                <w:color w:val="000000"/>
                <w:sz w:val="18"/>
                <w:szCs w:val="18"/>
              </w:rPr>
              <w:t>≤</w:t>
            </w:r>
            <w:r>
              <w:rPr>
                <w:rFonts w:ascii="仿宋" w:hAnsi="仿宋" w:eastAsia="仿宋" w:cs="宋体"/>
                <w:color w:val="000000"/>
                <w:sz w:val="18"/>
                <w:szCs w:val="18"/>
              </w:rPr>
              <w:t>8.2</w:t>
            </w:r>
          </w:p>
        </w:tc>
        <w:tc>
          <w:tcPr>
            <w:tcW w:w="1609" w:type="pct"/>
            <w:vAlign w:val="center"/>
          </w:tcPr>
          <w:p>
            <w:pPr>
              <w:jc w:val="center"/>
              <w:rPr>
                <w:rFonts w:ascii="仿宋" w:hAnsi="仿宋" w:eastAsia="仿宋" w:cs="宋体"/>
                <w:color w:val="000000"/>
                <w:sz w:val="18"/>
                <w:szCs w:val="18"/>
              </w:rPr>
            </w:pPr>
            <w:r>
              <w:rPr>
                <w:rFonts w:hint="eastAsia" w:ascii="仿宋" w:hAnsi="仿宋" w:eastAsia="仿宋" w:cs="宋体"/>
                <w:color w:val="000000"/>
                <w:sz w:val="18"/>
                <w:szCs w:val="18"/>
              </w:rPr>
              <w:t>本品外观为“白色至浅鲑鱼色结晶粉末”，熔融后呈黄色，本品用于防晒产品，对外观要求较高，故制定其熔融后加德纳色度≤</w:t>
            </w:r>
            <w:r>
              <w:rPr>
                <w:rFonts w:ascii="仿宋" w:hAnsi="仿宋" w:eastAsia="仿宋" w:cs="宋体"/>
                <w:color w:val="000000"/>
                <w:sz w:val="18"/>
                <w:szCs w:val="18"/>
              </w:rPr>
              <w:t>8.2</w:t>
            </w:r>
            <w:r>
              <w:rPr>
                <w:rFonts w:hint="eastAsia" w:ascii="仿宋" w:hAnsi="仿宋" w:eastAsia="仿宋" w:cs="宋体"/>
                <w:color w:val="000000"/>
                <w:sz w:val="18"/>
                <w:szCs w:val="18"/>
              </w:rPr>
              <w:t>是行业可接受的标准。</w:t>
            </w:r>
          </w:p>
        </w:tc>
        <w:tc>
          <w:tcPr>
            <w:tcW w:w="1258" w:type="pct"/>
            <w:vAlign w:val="center"/>
          </w:tcPr>
          <w:p>
            <w:pPr>
              <w:jc w:val="center"/>
              <w:rPr>
                <w:rFonts w:ascii="仿宋" w:hAnsi="仿宋" w:eastAsia="仿宋" w:cs="宋体"/>
                <w:color w:val="000000"/>
                <w:sz w:val="18"/>
                <w:szCs w:val="18"/>
              </w:rPr>
            </w:pPr>
            <w:r>
              <w:rPr>
                <w:rFonts w:ascii="仿宋" w:hAnsi="仿宋" w:eastAsia="仿宋" w:cs="宋体"/>
                <w:color w:val="000000"/>
                <w:sz w:val="18"/>
                <w:szCs w:val="18"/>
              </w:rPr>
              <w:t>GB/T 22295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8" w:hRule="atLeast"/>
          <w:jc w:val="center"/>
        </w:trPr>
        <w:tc>
          <w:tcPr>
            <w:tcW w:w="455" w:type="pct"/>
            <w:vMerge w:val="continue"/>
            <w:vAlign w:val="center"/>
          </w:tcPr>
          <w:p>
            <w:pPr>
              <w:jc w:val="center"/>
              <w:rPr>
                <w:rFonts w:ascii="仿宋" w:hAnsi="仿宋" w:eastAsia="仿宋" w:cs="宋体"/>
                <w:color w:val="000000"/>
                <w:sz w:val="18"/>
                <w:szCs w:val="18"/>
              </w:rPr>
            </w:pPr>
          </w:p>
        </w:tc>
        <w:tc>
          <w:tcPr>
            <w:tcW w:w="769" w:type="pct"/>
            <w:vAlign w:val="center"/>
          </w:tcPr>
          <w:p>
            <w:pPr>
              <w:jc w:val="center"/>
              <w:rPr>
                <w:rFonts w:ascii="仿宋" w:hAnsi="仿宋" w:eastAsia="仿宋" w:cs="宋体"/>
                <w:color w:val="000000"/>
                <w:sz w:val="18"/>
                <w:szCs w:val="18"/>
              </w:rPr>
            </w:pPr>
            <w:r>
              <w:rPr>
                <w:rFonts w:hint="eastAsia" w:ascii="仿宋" w:hAnsi="仿宋" w:eastAsia="仿宋" w:cs="宋体"/>
                <w:color w:val="000000"/>
                <w:sz w:val="18"/>
                <w:szCs w:val="18"/>
              </w:rPr>
              <w:t>含量</w:t>
            </w:r>
            <w:r>
              <w:rPr>
                <w:rFonts w:ascii="仿宋" w:hAnsi="仿宋" w:eastAsia="仿宋" w:cs="宋体"/>
                <w:color w:val="000000"/>
                <w:sz w:val="18"/>
                <w:szCs w:val="18"/>
              </w:rPr>
              <w:t>/%</w:t>
            </w:r>
          </w:p>
        </w:tc>
        <w:tc>
          <w:tcPr>
            <w:tcW w:w="908" w:type="pct"/>
            <w:vAlign w:val="center"/>
          </w:tcPr>
          <w:p>
            <w:pPr>
              <w:jc w:val="center"/>
              <w:rPr>
                <w:rFonts w:ascii="仿宋" w:hAnsi="仿宋" w:eastAsia="仿宋" w:cs="宋体"/>
                <w:color w:val="000000"/>
                <w:sz w:val="18"/>
                <w:szCs w:val="18"/>
              </w:rPr>
            </w:pPr>
            <w:r>
              <w:rPr>
                <w:rFonts w:hint="eastAsia" w:ascii="仿宋" w:hAnsi="仿宋" w:eastAsia="仿宋" w:cs="宋体"/>
                <w:color w:val="000000"/>
                <w:sz w:val="18"/>
                <w:szCs w:val="18"/>
              </w:rPr>
              <w:t>≥</w:t>
            </w:r>
            <w:r>
              <w:rPr>
                <w:rFonts w:ascii="仿宋" w:hAnsi="仿宋" w:eastAsia="仿宋" w:cs="宋体"/>
                <w:color w:val="000000"/>
                <w:sz w:val="18"/>
                <w:szCs w:val="18"/>
              </w:rPr>
              <w:t>98.0</w:t>
            </w:r>
          </w:p>
        </w:tc>
        <w:tc>
          <w:tcPr>
            <w:tcW w:w="1609" w:type="pct"/>
            <w:vAlign w:val="center"/>
          </w:tcPr>
          <w:p>
            <w:pPr>
              <w:jc w:val="left"/>
              <w:rPr>
                <w:rFonts w:hint="eastAsia" w:ascii="仿宋" w:hAnsi="仿宋" w:eastAsia="仿宋" w:cs="宋体"/>
                <w:color w:val="000000"/>
                <w:sz w:val="18"/>
                <w:szCs w:val="18"/>
              </w:rPr>
            </w:pPr>
            <w:r>
              <w:rPr>
                <w:rFonts w:hint="eastAsia" w:ascii="仿宋" w:hAnsi="仿宋" w:eastAsia="仿宋" w:cs="宋体"/>
                <w:color w:val="000000"/>
                <w:sz w:val="18"/>
                <w:szCs w:val="18"/>
              </w:rPr>
              <w:t>根据行业可接受的标准制定本指标。</w:t>
            </w:r>
          </w:p>
          <w:p>
            <w:pPr>
              <w:jc w:val="left"/>
              <w:rPr>
                <w:rFonts w:hint="eastAsia" w:ascii="仿宋" w:hAnsi="仿宋" w:eastAsia="仿宋" w:cs="宋体"/>
                <w:color w:val="000000"/>
                <w:sz w:val="18"/>
                <w:szCs w:val="18"/>
                <w:lang w:val="en-US" w:eastAsia="zh-CN"/>
              </w:rPr>
            </w:pPr>
            <w:r>
              <w:rPr>
                <w:rFonts w:hint="eastAsia" w:ascii="仿宋" w:hAnsi="仿宋" w:eastAsia="仿宋" w:cs="宋体"/>
                <w:color w:val="000000"/>
                <w:sz w:val="18"/>
                <w:szCs w:val="18"/>
                <w:lang w:val="en-US" w:eastAsia="zh-CN"/>
              </w:rPr>
              <w:t>因</w:t>
            </w:r>
            <w:r>
              <w:rPr>
                <w:rFonts w:hint="eastAsia" w:ascii="仿宋" w:hAnsi="仿宋" w:eastAsia="仿宋" w:cs="宋体"/>
                <w:color w:val="000000"/>
                <w:kern w:val="2"/>
                <w:sz w:val="18"/>
                <w:szCs w:val="18"/>
                <w:lang w:val="en-US" w:eastAsia="zh-CN"/>
              </w:rPr>
              <w:t>二乙氨羟苯甲酰基苯甲酸己酯并无标准品，本文件中的二乙氨羟苯甲酰基苯甲酸己酯工作标准品为</w:t>
            </w:r>
            <w:r>
              <w:rPr>
                <w:rFonts w:hint="eastAsia" w:ascii="仿宋" w:hAnsi="仿宋" w:eastAsia="仿宋" w:cs="宋体"/>
                <w:color w:val="000000"/>
                <w:sz w:val="18"/>
                <w:szCs w:val="18"/>
              </w:rPr>
              <w:t>生产的产品经过进一步提纯得到，质量优于产品；工作标准品用途为检查检测仪器与方法的适用性</w:t>
            </w:r>
            <w:r>
              <w:rPr>
                <w:rFonts w:hint="eastAsia" w:ascii="仿宋" w:hAnsi="仿宋" w:eastAsia="仿宋" w:cs="宋体"/>
                <w:color w:val="000000"/>
                <w:sz w:val="18"/>
                <w:szCs w:val="18"/>
                <w:lang w:eastAsia="zh-CN"/>
              </w:rPr>
              <w:t>。</w:t>
            </w:r>
          </w:p>
        </w:tc>
        <w:tc>
          <w:tcPr>
            <w:tcW w:w="1258" w:type="pct"/>
            <w:vAlign w:val="center"/>
          </w:tcPr>
          <w:p>
            <w:pPr>
              <w:jc w:val="center"/>
              <w:rPr>
                <w:rFonts w:ascii="仿宋" w:hAnsi="仿宋" w:eastAsia="仿宋" w:cs="宋体"/>
                <w:color w:val="000000"/>
                <w:sz w:val="18"/>
                <w:szCs w:val="18"/>
              </w:rPr>
            </w:pPr>
            <w:r>
              <w:rPr>
                <w:rFonts w:hint="eastAsia" w:ascii="仿宋" w:hAnsi="仿宋" w:eastAsia="仿宋" w:cs="宋体"/>
                <w:color w:val="000000"/>
                <w:sz w:val="18"/>
                <w:szCs w:val="18"/>
              </w:rPr>
              <w:t xml:space="preserve">通则0521 </w:t>
            </w:r>
          </w:p>
          <w:p>
            <w:pPr>
              <w:jc w:val="center"/>
              <w:rPr>
                <w:rFonts w:ascii="仿宋" w:hAnsi="仿宋" w:eastAsia="仿宋" w:cs="宋体"/>
                <w:color w:val="000000"/>
                <w:sz w:val="18"/>
                <w:szCs w:val="18"/>
              </w:rPr>
            </w:pPr>
            <w:r>
              <w:rPr>
                <w:rFonts w:hint="eastAsia" w:ascii="仿宋" w:hAnsi="仿宋" w:eastAsia="仿宋" w:cs="宋体"/>
                <w:color w:val="000000"/>
                <w:sz w:val="18"/>
                <w:szCs w:val="18"/>
              </w:rPr>
              <w:t>气相色谱法</w:t>
            </w:r>
          </w:p>
        </w:tc>
      </w:tr>
    </w:tbl>
    <w:p>
      <w:pPr>
        <w:spacing w:line="360" w:lineRule="auto"/>
        <w:ind w:hanging="300"/>
        <w:rPr>
          <w:rFonts w:ascii="华文中宋" w:hAnsi="华文中宋" w:eastAsia="华文中宋" w:cs="华文中宋"/>
          <w:color w:val="000000"/>
          <w:sz w:val="24"/>
          <w:szCs w:val="24"/>
        </w:rPr>
      </w:pPr>
      <w:r>
        <w:rPr>
          <w:rFonts w:hint="eastAsia" w:ascii="华文中宋" w:hAnsi="华文中宋" w:eastAsia="华文中宋" w:cs="华文中宋"/>
          <w:color w:val="000000"/>
          <w:sz w:val="24"/>
          <w:szCs w:val="24"/>
        </w:rPr>
        <w:t>六、</w:t>
      </w:r>
      <w:r>
        <w:rPr>
          <w:rFonts w:ascii="华文中宋" w:hAnsi="华文中宋" w:eastAsia="华文中宋" w:cs="Calibri"/>
          <w:color w:val="000000"/>
          <w:sz w:val="24"/>
          <w:szCs w:val="24"/>
        </w:rPr>
        <w:t> </w:t>
      </w:r>
      <w:r>
        <w:rPr>
          <w:rFonts w:hint="eastAsia" w:ascii="华文中宋" w:hAnsi="华文中宋" w:eastAsia="华文中宋" w:cs="华文中宋"/>
          <w:color w:val="000000"/>
          <w:sz w:val="24"/>
          <w:szCs w:val="24"/>
        </w:rPr>
        <w:t>征求意见的采纳情况（附《征求意见汇总处理表》、重大意见分歧的处理结果和依据）</w:t>
      </w:r>
    </w:p>
    <w:p>
      <w:pPr>
        <w:spacing w:line="360" w:lineRule="auto"/>
        <w:ind w:firstLine="480" w:firstLineChars="200"/>
        <w:rPr>
          <w:rFonts w:ascii="仿宋" w:hAnsi="仿宋" w:eastAsia="仿宋" w:cs="华文中宋"/>
          <w:color w:val="000000"/>
          <w:sz w:val="24"/>
          <w:szCs w:val="24"/>
        </w:rPr>
      </w:pPr>
      <w:r>
        <w:rPr>
          <w:rFonts w:hint="eastAsia" w:ascii="仿宋" w:hAnsi="仿宋" w:eastAsia="仿宋" w:cs="仿宋"/>
          <w:kern w:val="0"/>
          <w:sz w:val="24"/>
          <w:szCs w:val="24"/>
        </w:rPr>
        <w:t>无</w:t>
      </w:r>
    </w:p>
    <w:p>
      <w:pPr>
        <w:spacing w:line="360" w:lineRule="auto"/>
        <w:ind w:hanging="300"/>
        <w:rPr>
          <w:rFonts w:ascii="华文中宋" w:hAnsi="华文中宋" w:eastAsia="华文中宋" w:cs="华文中宋"/>
          <w:color w:val="000000"/>
          <w:sz w:val="24"/>
          <w:szCs w:val="24"/>
        </w:rPr>
      </w:pPr>
      <w:r>
        <w:rPr>
          <w:rFonts w:hint="eastAsia" w:ascii="华文中宋" w:hAnsi="华文中宋" w:eastAsia="华文中宋" w:cs="华文中宋"/>
          <w:color w:val="000000"/>
          <w:sz w:val="24"/>
          <w:szCs w:val="24"/>
        </w:rPr>
        <w:t>七、</w:t>
      </w:r>
      <w:r>
        <w:rPr>
          <w:rFonts w:ascii="华文中宋" w:hAnsi="华文中宋" w:eastAsia="华文中宋" w:cs="Calibri"/>
          <w:color w:val="000000"/>
          <w:sz w:val="24"/>
          <w:szCs w:val="24"/>
        </w:rPr>
        <w:t> </w:t>
      </w:r>
      <w:r>
        <w:rPr>
          <w:rFonts w:hint="eastAsia" w:ascii="华文中宋" w:hAnsi="华文中宋" w:eastAsia="华文中宋" w:cs="华文中宋"/>
          <w:color w:val="000000"/>
          <w:sz w:val="24"/>
          <w:szCs w:val="24"/>
        </w:rPr>
        <w:t>标准实施日期和实施建议</w:t>
      </w:r>
    </w:p>
    <w:p>
      <w:pPr>
        <w:spacing w:line="360" w:lineRule="auto"/>
        <w:ind w:firstLine="420" w:firstLineChars="175"/>
        <w:rPr>
          <w:rFonts w:ascii="仿宋" w:hAnsi="仿宋" w:eastAsia="仿宋" w:cs="仿宋"/>
          <w:kern w:val="0"/>
          <w:sz w:val="24"/>
          <w:szCs w:val="24"/>
        </w:rPr>
      </w:pPr>
      <w:r>
        <w:rPr>
          <w:rFonts w:hint="eastAsia" w:ascii="仿宋" w:hAnsi="仿宋" w:eastAsia="仿宋" w:cs="仿宋"/>
          <w:kern w:val="0"/>
          <w:sz w:val="24"/>
          <w:szCs w:val="24"/>
        </w:rPr>
        <w:t>无</w:t>
      </w:r>
    </w:p>
    <w:p>
      <w:pPr>
        <w:spacing w:line="360" w:lineRule="auto"/>
        <w:ind w:hanging="300"/>
        <w:rPr>
          <w:rFonts w:ascii="华文中宋" w:hAnsi="华文中宋" w:eastAsia="华文中宋" w:cs="华文中宋"/>
          <w:color w:val="000000"/>
          <w:sz w:val="24"/>
          <w:szCs w:val="24"/>
        </w:rPr>
      </w:pPr>
      <w:r>
        <w:rPr>
          <w:rFonts w:hint="eastAsia" w:ascii="华文中宋" w:hAnsi="华文中宋" w:eastAsia="华文中宋" w:cs="华文中宋"/>
          <w:color w:val="000000"/>
          <w:sz w:val="24"/>
          <w:szCs w:val="24"/>
        </w:rPr>
        <w:t>八、</w:t>
      </w:r>
      <w:r>
        <w:rPr>
          <w:rFonts w:ascii="华文中宋" w:hAnsi="华文中宋" w:eastAsia="华文中宋" w:cs="Calibri"/>
          <w:color w:val="000000"/>
          <w:sz w:val="24"/>
          <w:szCs w:val="24"/>
        </w:rPr>
        <w:t> </w:t>
      </w:r>
      <w:r>
        <w:rPr>
          <w:rFonts w:hint="eastAsia" w:ascii="华文中宋" w:hAnsi="华文中宋" w:eastAsia="华文中宋" w:cs="华文中宋"/>
          <w:color w:val="000000"/>
          <w:sz w:val="24"/>
          <w:szCs w:val="24"/>
        </w:rPr>
        <w:t>其他需要说明的事项（含涉及专利情况说明）</w:t>
      </w:r>
    </w:p>
    <w:p>
      <w:pPr>
        <w:spacing w:line="360" w:lineRule="auto"/>
        <w:ind w:firstLine="480" w:firstLineChars="200"/>
        <w:jc w:val="left"/>
        <w:rPr>
          <w:rFonts w:ascii="仿宋" w:hAnsi="仿宋" w:eastAsia="仿宋"/>
          <w:sz w:val="24"/>
          <w:szCs w:val="24"/>
        </w:rPr>
      </w:pPr>
      <w:r>
        <w:rPr>
          <w:rFonts w:hint="eastAsia" w:ascii="仿宋" w:hAnsi="仿宋" w:eastAsia="仿宋"/>
          <w:sz w:val="24"/>
          <w:szCs w:val="24"/>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E0A027"/>
    <w:multiLevelType w:val="singleLevel"/>
    <w:tmpl w:val="F2E0A027"/>
    <w:lvl w:ilvl="0" w:tentative="0">
      <w:start w:val="2"/>
      <w:numFmt w:val="chineseCounting"/>
      <w:suff w:val="nothing"/>
      <w:lvlText w:val="%1、"/>
      <w:lvlJc w:val="left"/>
      <w:rPr>
        <w:rFonts w:hint="eastAsia"/>
      </w:rPr>
    </w:lvl>
  </w:abstractNum>
  <w:abstractNum w:abstractNumId="1">
    <w:nsid w:val="25ED339F"/>
    <w:multiLevelType w:val="multilevel"/>
    <w:tmpl w:val="25ED339F"/>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xOTE0NzFmZmNjYTVjODY0NTJmNTMzMDJiMjMwOTkifQ=="/>
  </w:docVars>
  <w:rsids>
    <w:rsidRoot w:val="004268FF"/>
    <w:rsid w:val="000029DF"/>
    <w:rsid w:val="000067CE"/>
    <w:rsid w:val="000068C6"/>
    <w:rsid w:val="000101A2"/>
    <w:rsid w:val="00010370"/>
    <w:rsid w:val="00014800"/>
    <w:rsid w:val="0002151E"/>
    <w:rsid w:val="0002345F"/>
    <w:rsid w:val="00031B45"/>
    <w:rsid w:val="000336B8"/>
    <w:rsid w:val="0003629E"/>
    <w:rsid w:val="00041715"/>
    <w:rsid w:val="0004644C"/>
    <w:rsid w:val="00050E5D"/>
    <w:rsid w:val="0005232E"/>
    <w:rsid w:val="00052A51"/>
    <w:rsid w:val="00052FD5"/>
    <w:rsid w:val="0005704C"/>
    <w:rsid w:val="0005774C"/>
    <w:rsid w:val="000602A3"/>
    <w:rsid w:val="00060E11"/>
    <w:rsid w:val="00063F58"/>
    <w:rsid w:val="00063FF9"/>
    <w:rsid w:val="00064016"/>
    <w:rsid w:val="000710FA"/>
    <w:rsid w:val="00071A05"/>
    <w:rsid w:val="00071E5A"/>
    <w:rsid w:val="00072311"/>
    <w:rsid w:val="000745AD"/>
    <w:rsid w:val="00076F5D"/>
    <w:rsid w:val="000811A3"/>
    <w:rsid w:val="0008142D"/>
    <w:rsid w:val="000839F5"/>
    <w:rsid w:val="00086098"/>
    <w:rsid w:val="00086245"/>
    <w:rsid w:val="000862C3"/>
    <w:rsid w:val="00087799"/>
    <w:rsid w:val="00092811"/>
    <w:rsid w:val="00092B1A"/>
    <w:rsid w:val="00095A55"/>
    <w:rsid w:val="00096DBB"/>
    <w:rsid w:val="000A1FCB"/>
    <w:rsid w:val="000B1219"/>
    <w:rsid w:val="000B1DDE"/>
    <w:rsid w:val="000B364D"/>
    <w:rsid w:val="000B40DD"/>
    <w:rsid w:val="000B512F"/>
    <w:rsid w:val="000B5941"/>
    <w:rsid w:val="000B766C"/>
    <w:rsid w:val="000B7943"/>
    <w:rsid w:val="000C15A6"/>
    <w:rsid w:val="000C2905"/>
    <w:rsid w:val="000C5252"/>
    <w:rsid w:val="000C62A6"/>
    <w:rsid w:val="000D464C"/>
    <w:rsid w:val="000D512B"/>
    <w:rsid w:val="000E1F6E"/>
    <w:rsid w:val="000E3B6C"/>
    <w:rsid w:val="000E3F87"/>
    <w:rsid w:val="000E525C"/>
    <w:rsid w:val="000E5B06"/>
    <w:rsid w:val="000E6284"/>
    <w:rsid w:val="000F04CB"/>
    <w:rsid w:val="000F0C4A"/>
    <w:rsid w:val="000F1180"/>
    <w:rsid w:val="000F2439"/>
    <w:rsid w:val="000F2CC2"/>
    <w:rsid w:val="000F3742"/>
    <w:rsid w:val="000F3E0C"/>
    <w:rsid w:val="000F4732"/>
    <w:rsid w:val="000F5797"/>
    <w:rsid w:val="000F7A8E"/>
    <w:rsid w:val="0010076A"/>
    <w:rsid w:val="001012F3"/>
    <w:rsid w:val="00106B1D"/>
    <w:rsid w:val="00106F8A"/>
    <w:rsid w:val="00107DCE"/>
    <w:rsid w:val="00110A85"/>
    <w:rsid w:val="001129BE"/>
    <w:rsid w:val="001155D7"/>
    <w:rsid w:val="00120561"/>
    <w:rsid w:val="001217D4"/>
    <w:rsid w:val="00122799"/>
    <w:rsid w:val="001228B6"/>
    <w:rsid w:val="001254BD"/>
    <w:rsid w:val="001255CD"/>
    <w:rsid w:val="00127D03"/>
    <w:rsid w:val="00130F14"/>
    <w:rsid w:val="0013368C"/>
    <w:rsid w:val="00133D13"/>
    <w:rsid w:val="00134750"/>
    <w:rsid w:val="001376DC"/>
    <w:rsid w:val="00137D59"/>
    <w:rsid w:val="0014072B"/>
    <w:rsid w:val="00140A56"/>
    <w:rsid w:val="00145751"/>
    <w:rsid w:val="0014792D"/>
    <w:rsid w:val="001554CF"/>
    <w:rsid w:val="00156A96"/>
    <w:rsid w:val="00157361"/>
    <w:rsid w:val="001609AB"/>
    <w:rsid w:val="00166754"/>
    <w:rsid w:val="001672B5"/>
    <w:rsid w:val="00167D02"/>
    <w:rsid w:val="001715CA"/>
    <w:rsid w:val="00173829"/>
    <w:rsid w:val="001774E1"/>
    <w:rsid w:val="001803AE"/>
    <w:rsid w:val="00182878"/>
    <w:rsid w:val="00183A92"/>
    <w:rsid w:val="00185238"/>
    <w:rsid w:val="00185848"/>
    <w:rsid w:val="001866E9"/>
    <w:rsid w:val="0018723A"/>
    <w:rsid w:val="001877D9"/>
    <w:rsid w:val="00187FB3"/>
    <w:rsid w:val="001904FD"/>
    <w:rsid w:val="00190CB5"/>
    <w:rsid w:val="00190E9E"/>
    <w:rsid w:val="00191193"/>
    <w:rsid w:val="001922FB"/>
    <w:rsid w:val="00192732"/>
    <w:rsid w:val="001939AB"/>
    <w:rsid w:val="001944E9"/>
    <w:rsid w:val="0019752F"/>
    <w:rsid w:val="001A0E14"/>
    <w:rsid w:val="001A295A"/>
    <w:rsid w:val="001A4A80"/>
    <w:rsid w:val="001A52B3"/>
    <w:rsid w:val="001A624A"/>
    <w:rsid w:val="001A7EEA"/>
    <w:rsid w:val="001B2550"/>
    <w:rsid w:val="001B3188"/>
    <w:rsid w:val="001B3483"/>
    <w:rsid w:val="001B4198"/>
    <w:rsid w:val="001B6542"/>
    <w:rsid w:val="001B7307"/>
    <w:rsid w:val="001C01AB"/>
    <w:rsid w:val="001C5EB4"/>
    <w:rsid w:val="001C670D"/>
    <w:rsid w:val="001C75FD"/>
    <w:rsid w:val="001D1968"/>
    <w:rsid w:val="001D4624"/>
    <w:rsid w:val="001D6FD8"/>
    <w:rsid w:val="001D773D"/>
    <w:rsid w:val="001E1CD9"/>
    <w:rsid w:val="001E2AB0"/>
    <w:rsid w:val="001E2BFD"/>
    <w:rsid w:val="001E2CB9"/>
    <w:rsid w:val="001E4C50"/>
    <w:rsid w:val="001E61E9"/>
    <w:rsid w:val="001E6E1F"/>
    <w:rsid w:val="001E797F"/>
    <w:rsid w:val="001E7DE2"/>
    <w:rsid w:val="001F385E"/>
    <w:rsid w:val="001F5E04"/>
    <w:rsid w:val="001F6FA9"/>
    <w:rsid w:val="00200CD6"/>
    <w:rsid w:val="002041E5"/>
    <w:rsid w:val="00211DFF"/>
    <w:rsid w:val="00213BD6"/>
    <w:rsid w:val="002148A9"/>
    <w:rsid w:val="0021626D"/>
    <w:rsid w:val="00221166"/>
    <w:rsid w:val="002220BA"/>
    <w:rsid w:val="00223F58"/>
    <w:rsid w:val="002241FC"/>
    <w:rsid w:val="0022675D"/>
    <w:rsid w:val="00227C3B"/>
    <w:rsid w:val="002301F5"/>
    <w:rsid w:val="00230E49"/>
    <w:rsid w:val="0023179F"/>
    <w:rsid w:val="00233430"/>
    <w:rsid w:val="002352A7"/>
    <w:rsid w:val="002355AE"/>
    <w:rsid w:val="00241382"/>
    <w:rsid w:val="00242A9E"/>
    <w:rsid w:val="00243F83"/>
    <w:rsid w:val="00244C27"/>
    <w:rsid w:val="00245529"/>
    <w:rsid w:val="00245E8B"/>
    <w:rsid w:val="00246A81"/>
    <w:rsid w:val="00251771"/>
    <w:rsid w:val="00251E9D"/>
    <w:rsid w:val="00253B34"/>
    <w:rsid w:val="002547FF"/>
    <w:rsid w:val="00260254"/>
    <w:rsid w:val="0026370B"/>
    <w:rsid w:val="00266093"/>
    <w:rsid w:val="00266CCC"/>
    <w:rsid w:val="00270FE8"/>
    <w:rsid w:val="00271871"/>
    <w:rsid w:val="002724F7"/>
    <w:rsid w:val="00272793"/>
    <w:rsid w:val="00274056"/>
    <w:rsid w:val="002742F4"/>
    <w:rsid w:val="002761BC"/>
    <w:rsid w:val="00280D29"/>
    <w:rsid w:val="00284B66"/>
    <w:rsid w:val="00284C25"/>
    <w:rsid w:val="00291516"/>
    <w:rsid w:val="00292675"/>
    <w:rsid w:val="00293458"/>
    <w:rsid w:val="002964B5"/>
    <w:rsid w:val="00297AF7"/>
    <w:rsid w:val="002A0E8E"/>
    <w:rsid w:val="002A4B19"/>
    <w:rsid w:val="002A5F5A"/>
    <w:rsid w:val="002A666E"/>
    <w:rsid w:val="002B2097"/>
    <w:rsid w:val="002B46D8"/>
    <w:rsid w:val="002C0879"/>
    <w:rsid w:val="002C3732"/>
    <w:rsid w:val="002C3B02"/>
    <w:rsid w:val="002C6E27"/>
    <w:rsid w:val="002C7F69"/>
    <w:rsid w:val="002D3D83"/>
    <w:rsid w:val="002E0062"/>
    <w:rsid w:val="002E1AC4"/>
    <w:rsid w:val="002E33B7"/>
    <w:rsid w:val="002F0858"/>
    <w:rsid w:val="002F1419"/>
    <w:rsid w:val="002F430D"/>
    <w:rsid w:val="002F572A"/>
    <w:rsid w:val="002F6AD3"/>
    <w:rsid w:val="002F79B7"/>
    <w:rsid w:val="002F7B00"/>
    <w:rsid w:val="003006B0"/>
    <w:rsid w:val="00301D5D"/>
    <w:rsid w:val="00302925"/>
    <w:rsid w:val="00303A03"/>
    <w:rsid w:val="00303C20"/>
    <w:rsid w:val="00306DA2"/>
    <w:rsid w:val="003100EA"/>
    <w:rsid w:val="003105F0"/>
    <w:rsid w:val="0031182E"/>
    <w:rsid w:val="003120E5"/>
    <w:rsid w:val="0031424D"/>
    <w:rsid w:val="0031528E"/>
    <w:rsid w:val="00324178"/>
    <w:rsid w:val="00325890"/>
    <w:rsid w:val="003265CC"/>
    <w:rsid w:val="00326789"/>
    <w:rsid w:val="00326BE7"/>
    <w:rsid w:val="00327FBC"/>
    <w:rsid w:val="00330936"/>
    <w:rsid w:val="00331BA0"/>
    <w:rsid w:val="00331C94"/>
    <w:rsid w:val="00332772"/>
    <w:rsid w:val="0033278C"/>
    <w:rsid w:val="00333015"/>
    <w:rsid w:val="00334AA7"/>
    <w:rsid w:val="003356A1"/>
    <w:rsid w:val="00336FB4"/>
    <w:rsid w:val="0033719E"/>
    <w:rsid w:val="00337554"/>
    <w:rsid w:val="00341DDD"/>
    <w:rsid w:val="003450C6"/>
    <w:rsid w:val="003478B0"/>
    <w:rsid w:val="00352D75"/>
    <w:rsid w:val="00356D82"/>
    <w:rsid w:val="00356FEA"/>
    <w:rsid w:val="00360513"/>
    <w:rsid w:val="00362189"/>
    <w:rsid w:val="00367362"/>
    <w:rsid w:val="00367ABC"/>
    <w:rsid w:val="00376F4F"/>
    <w:rsid w:val="00376F5C"/>
    <w:rsid w:val="00377A14"/>
    <w:rsid w:val="00380879"/>
    <w:rsid w:val="003848E2"/>
    <w:rsid w:val="0038500C"/>
    <w:rsid w:val="00386F02"/>
    <w:rsid w:val="003875FC"/>
    <w:rsid w:val="00387A7E"/>
    <w:rsid w:val="00392D34"/>
    <w:rsid w:val="00393C51"/>
    <w:rsid w:val="00393EA9"/>
    <w:rsid w:val="00394805"/>
    <w:rsid w:val="00395A1B"/>
    <w:rsid w:val="003A0BFB"/>
    <w:rsid w:val="003A1D1C"/>
    <w:rsid w:val="003A3546"/>
    <w:rsid w:val="003A4FDE"/>
    <w:rsid w:val="003A5271"/>
    <w:rsid w:val="003A6A17"/>
    <w:rsid w:val="003A6C77"/>
    <w:rsid w:val="003B15B6"/>
    <w:rsid w:val="003B2AF5"/>
    <w:rsid w:val="003B2F7D"/>
    <w:rsid w:val="003B3B6C"/>
    <w:rsid w:val="003B76CE"/>
    <w:rsid w:val="003C50D3"/>
    <w:rsid w:val="003C5971"/>
    <w:rsid w:val="003C68CC"/>
    <w:rsid w:val="003D0B26"/>
    <w:rsid w:val="003D0C46"/>
    <w:rsid w:val="003D2083"/>
    <w:rsid w:val="003D365F"/>
    <w:rsid w:val="003D52E5"/>
    <w:rsid w:val="003E192C"/>
    <w:rsid w:val="003E5F58"/>
    <w:rsid w:val="003E6132"/>
    <w:rsid w:val="003E7972"/>
    <w:rsid w:val="003F0C69"/>
    <w:rsid w:val="003F197A"/>
    <w:rsid w:val="003F2A3A"/>
    <w:rsid w:val="003F40FC"/>
    <w:rsid w:val="003F5D39"/>
    <w:rsid w:val="003F714A"/>
    <w:rsid w:val="00401408"/>
    <w:rsid w:val="00403F38"/>
    <w:rsid w:val="004053B1"/>
    <w:rsid w:val="00405FB7"/>
    <w:rsid w:val="0040613F"/>
    <w:rsid w:val="00406617"/>
    <w:rsid w:val="0040715B"/>
    <w:rsid w:val="00410A9C"/>
    <w:rsid w:val="00411DE9"/>
    <w:rsid w:val="00412BF2"/>
    <w:rsid w:val="0041344E"/>
    <w:rsid w:val="00420E64"/>
    <w:rsid w:val="00422AB6"/>
    <w:rsid w:val="004235FE"/>
    <w:rsid w:val="00423AA9"/>
    <w:rsid w:val="00423CAE"/>
    <w:rsid w:val="00425ED7"/>
    <w:rsid w:val="004268FF"/>
    <w:rsid w:val="00432B91"/>
    <w:rsid w:val="00436B4C"/>
    <w:rsid w:val="004370A3"/>
    <w:rsid w:val="00437ED0"/>
    <w:rsid w:val="004400F7"/>
    <w:rsid w:val="00440AEF"/>
    <w:rsid w:val="0044100A"/>
    <w:rsid w:val="0044563B"/>
    <w:rsid w:val="0044668A"/>
    <w:rsid w:val="00446D3F"/>
    <w:rsid w:val="00450BA7"/>
    <w:rsid w:val="004514FA"/>
    <w:rsid w:val="00451F8C"/>
    <w:rsid w:val="0045328B"/>
    <w:rsid w:val="00457787"/>
    <w:rsid w:val="00457BF1"/>
    <w:rsid w:val="00463442"/>
    <w:rsid w:val="004657CC"/>
    <w:rsid w:val="00466753"/>
    <w:rsid w:val="00470627"/>
    <w:rsid w:val="00471973"/>
    <w:rsid w:val="004726EE"/>
    <w:rsid w:val="004729F2"/>
    <w:rsid w:val="00472A88"/>
    <w:rsid w:val="00474966"/>
    <w:rsid w:val="004750D0"/>
    <w:rsid w:val="004752FC"/>
    <w:rsid w:val="00476092"/>
    <w:rsid w:val="00481669"/>
    <w:rsid w:val="0048167D"/>
    <w:rsid w:val="00487F0F"/>
    <w:rsid w:val="004906DF"/>
    <w:rsid w:val="00492239"/>
    <w:rsid w:val="004961A2"/>
    <w:rsid w:val="004A0B56"/>
    <w:rsid w:val="004A26E2"/>
    <w:rsid w:val="004A2CD2"/>
    <w:rsid w:val="004A30B0"/>
    <w:rsid w:val="004A425A"/>
    <w:rsid w:val="004A6993"/>
    <w:rsid w:val="004B18C6"/>
    <w:rsid w:val="004B3897"/>
    <w:rsid w:val="004B42B4"/>
    <w:rsid w:val="004B5585"/>
    <w:rsid w:val="004B55B1"/>
    <w:rsid w:val="004B65CD"/>
    <w:rsid w:val="004C1FC8"/>
    <w:rsid w:val="004C72DB"/>
    <w:rsid w:val="004D1C57"/>
    <w:rsid w:val="004D2C14"/>
    <w:rsid w:val="004D3F82"/>
    <w:rsid w:val="004D423C"/>
    <w:rsid w:val="004D5A22"/>
    <w:rsid w:val="004D6C84"/>
    <w:rsid w:val="004E07DF"/>
    <w:rsid w:val="004E0F47"/>
    <w:rsid w:val="004E1128"/>
    <w:rsid w:val="004E15AD"/>
    <w:rsid w:val="004E1FB3"/>
    <w:rsid w:val="004E1FD1"/>
    <w:rsid w:val="004E1FD9"/>
    <w:rsid w:val="004E48A8"/>
    <w:rsid w:val="004E5C08"/>
    <w:rsid w:val="004E69CE"/>
    <w:rsid w:val="004E6CA1"/>
    <w:rsid w:val="004F08BB"/>
    <w:rsid w:val="004F1BEE"/>
    <w:rsid w:val="004F3D1B"/>
    <w:rsid w:val="004F3DFB"/>
    <w:rsid w:val="004F56DB"/>
    <w:rsid w:val="005003CF"/>
    <w:rsid w:val="00502CCF"/>
    <w:rsid w:val="00502D0C"/>
    <w:rsid w:val="00503695"/>
    <w:rsid w:val="00505375"/>
    <w:rsid w:val="005067B6"/>
    <w:rsid w:val="005144E5"/>
    <w:rsid w:val="005151C2"/>
    <w:rsid w:val="00516670"/>
    <w:rsid w:val="0051689A"/>
    <w:rsid w:val="00516FCC"/>
    <w:rsid w:val="00517098"/>
    <w:rsid w:val="00517C47"/>
    <w:rsid w:val="0052072A"/>
    <w:rsid w:val="005213B8"/>
    <w:rsid w:val="00521785"/>
    <w:rsid w:val="00522AA2"/>
    <w:rsid w:val="00523A7C"/>
    <w:rsid w:val="00524874"/>
    <w:rsid w:val="005300E3"/>
    <w:rsid w:val="00531797"/>
    <w:rsid w:val="00531828"/>
    <w:rsid w:val="005324EB"/>
    <w:rsid w:val="00534B1F"/>
    <w:rsid w:val="00536703"/>
    <w:rsid w:val="00537D42"/>
    <w:rsid w:val="00540905"/>
    <w:rsid w:val="005409B7"/>
    <w:rsid w:val="00541714"/>
    <w:rsid w:val="00541BC7"/>
    <w:rsid w:val="00541D34"/>
    <w:rsid w:val="005435F1"/>
    <w:rsid w:val="0054761E"/>
    <w:rsid w:val="00547D02"/>
    <w:rsid w:val="00550C33"/>
    <w:rsid w:val="00550D58"/>
    <w:rsid w:val="0055257C"/>
    <w:rsid w:val="005526F4"/>
    <w:rsid w:val="00552D39"/>
    <w:rsid w:val="005607BE"/>
    <w:rsid w:val="00562C2F"/>
    <w:rsid w:val="00563F4F"/>
    <w:rsid w:val="00566AE9"/>
    <w:rsid w:val="00566BB1"/>
    <w:rsid w:val="00570059"/>
    <w:rsid w:val="00575A52"/>
    <w:rsid w:val="005776D9"/>
    <w:rsid w:val="005807C8"/>
    <w:rsid w:val="00581C53"/>
    <w:rsid w:val="005824C1"/>
    <w:rsid w:val="00582811"/>
    <w:rsid w:val="00584497"/>
    <w:rsid w:val="00585D9E"/>
    <w:rsid w:val="00587B40"/>
    <w:rsid w:val="0059118C"/>
    <w:rsid w:val="00592F67"/>
    <w:rsid w:val="005936D1"/>
    <w:rsid w:val="00596910"/>
    <w:rsid w:val="005A0844"/>
    <w:rsid w:val="005A3B98"/>
    <w:rsid w:val="005A537A"/>
    <w:rsid w:val="005A5898"/>
    <w:rsid w:val="005B09B9"/>
    <w:rsid w:val="005B210E"/>
    <w:rsid w:val="005B5D8C"/>
    <w:rsid w:val="005B600A"/>
    <w:rsid w:val="005B7C8A"/>
    <w:rsid w:val="005C1C58"/>
    <w:rsid w:val="005C28B3"/>
    <w:rsid w:val="005C33F3"/>
    <w:rsid w:val="005C442F"/>
    <w:rsid w:val="005C5F99"/>
    <w:rsid w:val="005D0D3E"/>
    <w:rsid w:val="005D1618"/>
    <w:rsid w:val="005D372E"/>
    <w:rsid w:val="005D60FC"/>
    <w:rsid w:val="005D6141"/>
    <w:rsid w:val="005D64FB"/>
    <w:rsid w:val="005D6F38"/>
    <w:rsid w:val="005E100D"/>
    <w:rsid w:val="005E477D"/>
    <w:rsid w:val="005E5511"/>
    <w:rsid w:val="005E5E2C"/>
    <w:rsid w:val="005E7709"/>
    <w:rsid w:val="005E78B7"/>
    <w:rsid w:val="005E790C"/>
    <w:rsid w:val="005F0200"/>
    <w:rsid w:val="005F024A"/>
    <w:rsid w:val="005F2754"/>
    <w:rsid w:val="005F2AFD"/>
    <w:rsid w:val="005F446B"/>
    <w:rsid w:val="005F4AB9"/>
    <w:rsid w:val="005F5CBA"/>
    <w:rsid w:val="005F6CDE"/>
    <w:rsid w:val="005F7452"/>
    <w:rsid w:val="00601D20"/>
    <w:rsid w:val="00603CA4"/>
    <w:rsid w:val="006064A5"/>
    <w:rsid w:val="006071B6"/>
    <w:rsid w:val="006073BC"/>
    <w:rsid w:val="006074F8"/>
    <w:rsid w:val="00610FBA"/>
    <w:rsid w:val="006110F4"/>
    <w:rsid w:val="00616960"/>
    <w:rsid w:val="0061795B"/>
    <w:rsid w:val="00617C38"/>
    <w:rsid w:val="006202F7"/>
    <w:rsid w:val="006206A1"/>
    <w:rsid w:val="00621F11"/>
    <w:rsid w:val="00622ABD"/>
    <w:rsid w:val="00624F58"/>
    <w:rsid w:val="00625452"/>
    <w:rsid w:val="0062585C"/>
    <w:rsid w:val="00630E11"/>
    <w:rsid w:val="00633169"/>
    <w:rsid w:val="00640B5C"/>
    <w:rsid w:val="00642657"/>
    <w:rsid w:val="00642DCD"/>
    <w:rsid w:val="006440C0"/>
    <w:rsid w:val="00647EAF"/>
    <w:rsid w:val="0065111B"/>
    <w:rsid w:val="0065122B"/>
    <w:rsid w:val="00660623"/>
    <w:rsid w:val="006615F5"/>
    <w:rsid w:val="00661986"/>
    <w:rsid w:val="006669CE"/>
    <w:rsid w:val="006672AA"/>
    <w:rsid w:val="00672A97"/>
    <w:rsid w:val="0067588F"/>
    <w:rsid w:val="00676CFF"/>
    <w:rsid w:val="00680E91"/>
    <w:rsid w:val="0068260E"/>
    <w:rsid w:val="0068325F"/>
    <w:rsid w:val="006918BF"/>
    <w:rsid w:val="00694416"/>
    <w:rsid w:val="00694568"/>
    <w:rsid w:val="0069457C"/>
    <w:rsid w:val="00697736"/>
    <w:rsid w:val="006A64B9"/>
    <w:rsid w:val="006A69B1"/>
    <w:rsid w:val="006A7378"/>
    <w:rsid w:val="006B3313"/>
    <w:rsid w:val="006B3C74"/>
    <w:rsid w:val="006B4031"/>
    <w:rsid w:val="006B56B0"/>
    <w:rsid w:val="006B7294"/>
    <w:rsid w:val="006B77D4"/>
    <w:rsid w:val="006C3317"/>
    <w:rsid w:val="006C6651"/>
    <w:rsid w:val="006C67AB"/>
    <w:rsid w:val="006C7CD5"/>
    <w:rsid w:val="006D0F37"/>
    <w:rsid w:val="006D3B57"/>
    <w:rsid w:val="006D3BE0"/>
    <w:rsid w:val="006D3C5C"/>
    <w:rsid w:val="006D49FB"/>
    <w:rsid w:val="006E0D45"/>
    <w:rsid w:val="006E2F69"/>
    <w:rsid w:val="006E32DA"/>
    <w:rsid w:val="006E4AFD"/>
    <w:rsid w:val="006E4FE2"/>
    <w:rsid w:val="006F31DF"/>
    <w:rsid w:val="006F3428"/>
    <w:rsid w:val="00706DCD"/>
    <w:rsid w:val="007073D6"/>
    <w:rsid w:val="00712682"/>
    <w:rsid w:val="00716AAB"/>
    <w:rsid w:val="00716C11"/>
    <w:rsid w:val="00717072"/>
    <w:rsid w:val="00721091"/>
    <w:rsid w:val="007234E5"/>
    <w:rsid w:val="00724B6C"/>
    <w:rsid w:val="00724DA0"/>
    <w:rsid w:val="00725163"/>
    <w:rsid w:val="00726256"/>
    <w:rsid w:val="00726651"/>
    <w:rsid w:val="0072743C"/>
    <w:rsid w:val="00727723"/>
    <w:rsid w:val="00733173"/>
    <w:rsid w:val="007359D8"/>
    <w:rsid w:val="00735A26"/>
    <w:rsid w:val="00735ECB"/>
    <w:rsid w:val="00735F86"/>
    <w:rsid w:val="00741A88"/>
    <w:rsid w:val="007425E2"/>
    <w:rsid w:val="00742EF6"/>
    <w:rsid w:val="00743674"/>
    <w:rsid w:val="00744E31"/>
    <w:rsid w:val="0074516C"/>
    <w:rsid w:val="00746962"/>
    <w:rsid w:val="00753B28"/>
    <w:rsid w:val="00753CEF"/>
    <w:rsid w:val="00757311"/>
    <w:rsid w:val="00760398"/>
    <w:rsid w:val="00761395"/>
    <w:rsid w:val="0076230A"/>
    <w:rsid w:val="00764746"/>
    <w:rsid w:val="007649E1"/>
    <w:rsid w:val="007659FB"/>
    <w:rsid w:val="007666EA"/>
    <w:rsid w:val="007717BE"/>
    <w:rsid w:val="00772025"/>
    <w:rsid w:val="00773105"/>
    <w:rsid w:val="00773C52"/>
    <w:rsid w:val="00774CE6"/>
    <w:rsid w:val="007750EC"/>
    <w:rsid w:val="00776940"/>
    <w:rsid w:val="00776C02"/>
    <w:rsid w:val="007802B4"/>
    <w:rsid w:val="00780FCD"/>
    <w:rsid w:val="007816D6"/>
    <w:rsid w:val="00781CFD"/>
    <w:rsid w:val="00783D61"/>
    <w:rsid w:val="00790603"/>
    <w:rsid w:val="00791491"/>
    <w:rsid w:val="00794239"/>
    <w:rsid w:val="0079478E"/>
    <w:rsid w:val="00796A40"/>
    <w:rsid w:val="007A1FC6"/>
    <w:rsid w:val="007A4D59"/>
    <w:rsid w:val="007A5C19"/>
    <w:rsid w:val="007A6D46"/>
    <w:rsid w:val="007A7ED1"/>
    <w:rsid w:val="007B1D01"/>
    <w:rsid w:val="007B27A4"/>
    <w:rsid w:val="007B3C28"/>
    <w:rsid w:val="007B4873"/>
    <w:rsid w:val="007C069A"/>
    <w:rsid w:val="007C0C0F"/>
    <w:rsid w:val="007C18AF"/>
    <w:rsid w:val="007D0795"/>
    <w:rsid w:val="007D0D05"/>
    <w:rsid w:val="007D106D"/>
    <w:rsid w:val="007D426A"/>
    <w:rsid w:val="007D456C"/>
    <w:rsid w:val="007D6A53"/>
    <w:rsid w:val="007E2D47"/>
    <w:rsid w:val="007E32F0"/>
    <w:rsid w:val="007E6EA3"/>
    <w:rsid w:val="007E7176"/>
    <w:rsid w:val="007F12E6"/>
    <w:rsid w:val="007F2835"/>
    <w:rsid w:val="007F4033"/>
    <w:rsid w:val="007F51DD"/>
    <w:rsid w:val="0080299B"/>
    <w:rsid w:val="00804D74"/>
    <w:rsid w:val="00810E02"/>
    <w:rsid w:val="008110E3"/>
    <w:rsid w:val="00812054"/>
    <w:rsid w:val="008149EF"/>
    <w:rsid w:val="008165C1"/>
    <w:rsid w:val="00816DDA"/>
    <w:rsid w:val="00825220"/>
    <w:rsid w:val="00826B07"/>
    <w:rsid w:val="008272BB"/>
    <w:rsid w:val="00827C21"/>
    <w:rsid w:val="008308BF"/>
    <w:rsid w:val="00833874"/>
    <w:rsid w:val="008368B8"/>
    <w:rsid w:val="008404F1"/>
    <w:rsid w:val="008406DA"/>
    <w:rsid w:val="00841035"/>
    <w:rsid w:val="00841173"/>
    <w:rsid w:val="00843AFF"/>
    <w:rsid w:val="00844769"/>
    <w:rsid w:val="00845356"/>
    <w:rsid w:val="00845A74"/>
    <w:rsid w:val="0084754D"/>
    <w:rsid w:val="00850622"/>
    <w:rsid w:val="00850C54"/>
    <w:rsid w:val="00851FAF"/>
    <w:rsid w:val="00855A3B"/>
    <w:rsid w:val="0085606E"/>
    <w:rsid w:val="00861F08"/>
    <w:rsid w:val="008620E5"/>
    <w:rsid w:val="008643AD"/>
    <w:rsid w:val="008651B3"/>
    <w:rsid w:val="00866256"/>
    <w:rsid w:val="0086786A"/>
    <w:rsid w:val="00870309"/>
    <w:rsid w:val="0087275C"/>
    <w:rsid w:val="0087369D"/>
    <w:rsid w:val="00874C77"/>
    <w:rsid w:val="008755CC"/>
    <w:rsid w:val="00875CD9"/>
    <w:rsid w:val="00875EC5"/>
    <w:rsid w:val="0087642C"/>
    <w:rsid w:val="00876FF7"/>
    <w:rsid w:val="00877E9B"/>
    <w:rsid w:val="0088130F"/>
    <w:rsid w:val="00882784"/>
    <w:rsid w:val="00883470"/>
    <w:rsid w:val="008841A3"/>
    <w:rsid w:val="00885C05"/>
    <w:rsid w:val="008875F7"/>
    <w:rsid w:val="008877C6"/>
    <w:rsid w:val="00891B05"/>
    <w:rsid w:val="00894859"/>
    <w:rsid w:val="008948AC"/>
    <w:rsid w:val="008A357E"/>
    <w:rsid w:val="008A4F0D"/>
    <w:rsid w:val="008A546A"/>
    <w:rsid w:val="008A552A"/>
    <w:rsid w:val="008A67B2"/>
    <w:rsid w:val="008A6CD0"/>
    <w:rsid w:val="008B19DE"/>
    <w:rsid w:val="008B245C"/>
    <w:rsid w:val="008B3773"/>
    <w:rsid w:val="008B561F"/>
    <w:rsid w:val="008B666C"/>
    <w:rsid w:val="008B6E61"/>
    <w:rsid w:val="008C0DAC"/>
    <w:rsid w:val="008C3D3B"/>
    <w:rsid w:val="008C46BC"/>
    <w:rsid w:val="008C4C17"/>
    <w:rsid w:val="008C596D"/>
    <w:rsid w:val="008C78B5"/>
    <w:rsid w:val="008D1F74"/>
    <w:rsid w:val="008D2280"/>
    <w:rsid w:val="008D5484"/>
    <w:rsid w:val="008D57C9"/>
    <w:rsid w:val="008D5A69"/>
    <w:rsid w:val="008D5E30"/>
    <w:rsid w:val="008D6623"/>
    <w:rsid w:val="008E00D7"/>
    <w:rsid w:val="008E1DCE"/>
    <w:rsid w:val="008E4D0D"/>
    <w:rsid w:val="008E7085"/>
    <w:rsid w:val="008F054C"/>
    <w:rsid w:val="008F15F6"/>
    <w:rsid w:val="008F2150"/>
    <w:rsid w:val="00901CC6"/>
    <w:rsid w:val="00902B53"/>
    <w:rsid w:val="00905326"/>
    <w:rsid w:val="00910580"/>
    <w:rsid w:val="0091072B"/>
    <w:rsid w:val="0091161D"/>
    <w:rsid w:val="0091544A"/>
    <w:rsid w:val="009217FF"/>
    <w:rsid w:val="00923769"/>
    <w:rsid w:val="00923FEA"/>
    <w:rsid w:val="009244EC"/>
    <w:rsid w:val="00927A01"/>
    <w:rsid w:val="009301AB"/>
    <w:rsid w:val="00931234"/>
    <w:rsid w:val="009313EB"/>
    <w:rsid w:val="00935826"/>
    <w:rsid w:val="00935E8D"/>
    <w:rsid w:val="0093700E"/>
    <w:rsid w:val="009409A2"/>
    <w:rsid w:val="00941153"/>
    <w:rsid w:val="00942FAB"/>
    <w:rsid w:val="0094777A"/>
    <w:rsid w:val="0095012D"/>
    <w:rsid w:val="0095194B"/>
    <w:rsid w:val="009520DC"/>
    <w:rsid w:val="00952EDF"/>
    <w:rsid w:val="00952F8D"/>
    <w:rsid w:val="00953EC7"/>
    <w:rsid w:val="009569C3"/>
    <w:rsid w:val="009604AC"/>
    <w:rsid w:val="00961B8E"/>
    <w:rsid w:val="00966DD9"/>
    <w:rsid w:val="009700A2"/>
    <w:rsid w:val="00971524"/>
    <w:rsid w:val="0097343F"/>
    <w:rsid w:val="0097575E"/>
    <w:rsid w:val="00975FCE"/>
    <w:rsid w:val="00977133"/>
    <w:rsid w:val="0098226F"/>
    <w:rsid w:val="009831A3"/>
    <w:rsid w:val="009840CB"/>
    <w:rsid w:val="00985658"/>
    <w:rsid w:val="00985B16"/>
    <w:rsid w:val="00986EA8"/>
    <w:rsid w:val="00991685"/>
    <w:rsid w:val="00992BEC"/>
    <w:rsid w:val="00992FD7"/>
    <w:rsid w:val="00993F08"/>
    <w:rsid w:val="00994427"/>
    <w:rsid w:val="00997E82"/>
    <w:rsid w:val="009A0F34"/>
    <w:rsid w:val="009A2DFD"/>
    <w:rsid w:val="009A3508"/>
    <w:rsid w:val="009A4DF8"/>
    <w:rsid w:val="009A6101"/>
    <w:rsid w:val="009B012F"/>
    <w:rsid w:val="009B1276"/>
    <w:rsid w:val="009B139A"/>
    <w:rsid w:val="009B1F1A"/>
    <w:rsid w:val="009B1F8E"/>
    <w:rsid w:val="009B2E61"/>
    <w:rsid w:val="009B7C01"/>
    <w:rsid w:val="009C04BA"/>
    <w:rsid w:val="009C200C"/>
    <w:rsid w:val="009C3358"/>
    <w:rsid w:val="009C37E8"/>
    <w:rsid w:val="009C3B85"/>
    <w:rsid w:val="009C7086"/>
    <w:rsid w:val="009D0FE1"/>
    <w:rsid w:val="009D1541"/>
    <w:rsid w:val="009D1D32"/>
    <w:rsid w:val="009D280D"/>
    <w:rsid w:val="009D2937"/>
    <w:rsid w:val="009D65AE"/>
    <w:rsid w:val="009D7267"/>
    <w:rsid w:val="009D7657"/>
    <w:rsid w:val="009D76FC"/>
    <w:rsid w:val="009D7F1A"/>
    <w:rsid w:val="009E06A1"/>
    <w:rsid w:val="009E1F0D"/>
    <w:rsid w:val="009E3BB7"/>
    <w:rsid w:val="009E58D9"/>
    <w:rsid w:val="009E672F"/>
    <w:rsid w:val="009E79D2"/>
    <w:rsid w:val="009F05A7"/>
    <w:rsid w:val="009F1D71"/>
    <w:rsid w:val="009F3B6A"/>
    <w:rsid w:val="009F4A1A"/>
    <w:rsid w:val="009F60DE"/>
    <w:rsid w:val="009F793A"/>
    <w:rsid w:val="00A00484"/>
    <w:rsid w:val="00A00791"/>
    <w:rsid w:val="00A00F30"/>
    <w:rsid w:val="00A010F9"/>
    <w:rsid w:val="00A0236F"/>
    <w:rsid w:val="00A054F1"/>
    <w:rsid w:val="00A10085"/>
    <w:rsid w:val="00A11704"/>
    <w:rsid w:val="00A160FB"/>
    <w:rsid w:val="00A16FF8"/>
    <w:rsid w:val="00A20F49"/>
    <w:rsid w:val="00A2250E"/>
    <w:rsid w:val="00A2282D"/>
    <w:rsid w:val="00A242B2"/>
    <w:rsid w:val="00A25DD1"/>
    <w:rsid w:val="00A27631"/>
    <w:rsid w:val="00A320C3"/>
    <w:rsid w:val="00A368C1"/>
    <w:rsid w:val="00A37C29"/>
    <w:rsid w:val="00A460AD"/>
    <w:rsid w:val="00A47ED5"/>
    <w:rsid w:val="00A50519"/>
    <w:rsid w:val="00A53DFC"/>
    <w:rsid w:val="00A55939"/>
    <w:rsid w:val="00A572CD"/>
    <w:rsid w:val="00A62D60"/>
    <w:rsid w:val="00A70256"/>
    <w:rsid w:val="00A706DD"/>
    <w:rsid w:val="00A712C6"/>
    <w:rsid w:val="00A738B8"/>
    <w:rsid w:val="00A7401A"/>
    <w:rsid w:val="00A741B5"/>
    <w:rsid w:val="00A7493B"/>
    <w:rsid w:val="00A75C95"/>
    <w:rsid w:val="00A776F1"/>
    <w:rsid w:val="00A77AF7"/>
    <w:rsid w:val="00A8098D"/>
    <w:rsid w:val="00A858E2"/>
    <w:rsid w:val="00A8797A"/>
    <w:rsid w:val="00A90B9B"/>
    <w:rsid w:val="00A91CDC"/>
    <w:rsid w:val="00A94B7A"/>
    <w:rsid w:val="00A968BF"/>
    <w:rsid w:val="00AA1112"/>
    <w:rsid w:val="00AA2E1F"/>
    <w:rsid w:val="00AA3A13"/>
    <w:rsid w:val="00AA4040"/>
    <w:rsid w:val="00AA49E7"/>
    <w:rsid w:val="00AA6248"/>
    <w:rsid w:val="00AA6F87"/>
    <w:rsid w:val="00AA7D18"/>
    <w:rsid w:val="00AB07D4"/>
    <w:rsid w:val="00AB47DF"/>
    <w:rsid w:val="00AB4953"/>
    <w:rsid w:val="00AB529A"/>
    <w:rsid w:val="00AB6917"/>
    <w:rsid w:val="00AC00D4"/>
    <w:rsid w:val="00AC20AD"/>
    <w:rsid w:val="00AD0D99"/>
    <w:rsid w:val="00AD125D"/>
    <w:rsid w:val="00AD155F"/>
    <w:rsid w:val="00AD3DCF"/>
    <w:rsid w:val="00AD4579"/>
    <w:rsid w:val="00AD5771"/>
    <w:rsid w:val="00AE248B"/>
    <w:rsid w:val="00AE2A07"/>
    <w:rsid w:val="00AE2C89"/>
    <w:rsid w:val="00AE4AD4"/>
    <w:rsid w:val="00AE4E59"/>
    <w:rsid w:val="00AE7324"/>
    <w:rsid w:val="00AF10A6"/>
    <w:rsid w:val="00AF2D9A"/>
    <w:rsid w:val="00AF4852"/>
    <w:rsid w:val="00AF64B7"/>
    <w:rsid w:val="00B00409"/>
    <w:rsid w:val="00B00621"/>
    <w:rsid w:val="00B01D93"/>
    <w:rsid w:val="00B05426"/>
    <w:rsid w:val="00B05F5A"/>
    <w:rsid w:val="00B06890"/>
    <w:rsid w:val="00B12AE7"/>
    <w:rsid w:val="00B12B75"/>
    <w:rsid w:val="00B145D2"/>
    <w:rsid w:val="00B205F0"/>
    <w:rsid w:val="00B2107E"/>
    <w:rsid w:val="00B2187A"/>
    <w:rsid w:val="00B21E2E"/>
    <w:rsid w:val="00B21E3E"/>
    <w:rsid w:val="00B23085"/>
    <w:rsid w:val="00B23643"/>
    <w:rsid w:val="00B24D27"/>
    <w:rsid w:val="00B26A7F"/>
    <w:rsid w:val="00B27DE1"/>
    <w:rsid w:val="00B31870"/>
    <w:rsid w:val="00B32BF4"/>
    <w:rsid w:val="00B36C2D"/>
    <w:rsid w:val="00B4193D"/>
    <w:rsid w:val="00B4290A"/>
    <w:rsid w:val="00B42C8B"/>
    <w:rsid w:val="00B46BD4"/>
    <w:rsid w:val="00B52197"/>
    <w:rsid w:val="00B526C5"/>
    <w:rsid w:val="00B52858"/>
    <w:rsid w:val="00B55FBA"/>
    <w:rsid w:val="00B63F16"/>
    <w:rsid w:val="00B65FD5"/>
    <w:rsid w:val="00B67716"/>
    <w:rsid w:val="00B70BEA"/>
    <w:rsid w:val="00B72E87"/>
    <w:rsid w:val="00B74E0D"/>
    <w:rsid w:val="00B77B79"/>
    <w:rsid w:val="00B81415"/>
    <w:rsid w:val="00B819A9"/>
    <w:rsid w:val="00B82412"/>
    <w:rsid w:val="00B82BC7"/>
    <w:rsid w:val="00B8365A"/>
    <w:rsid w:val="00B85DD8"/>
    <w:rsid w:val="00B86A19"/>
    <w:rsid w:val="00B87EC5"/>
    <w:rsid w:val="00B90740"/>
    <w:rsid w:val="00B92013"/>
    <w:rsid w:val="00B92F57"/>
    <w:rsid w:val="00B9355C"/>
    <w:rsid w:val="00B95FFB"/>
    <w:rsid w:val="00B97294"/>
    <w:rsid w:val="00B97DEB"/>
    <w:rsid w:val="00BA20E6"/>
    <w:rsid w:val="00BA2C5B"/>
    <w:rsid w:val="00BA318E"/>
    <w:rsid w:val="00BA4901"/>
    <w:rsid w:val="00BA4C02"/>
    <w:rsid w:val="00BA55AE"/>
    <w:rsid w:val="00BA63C7"/>
    <w:rsid w:val="00BB1B74"/>
    <w:rsid w:val="00BB2311"/>
    <w:rsid w:val="00BB2FBE"/>
    <w:rsid w:val="00BB5936"/>
    <w:rsid w:val="00BC0803"/>
    <w:rsid w:val="00BC1F1C"/>
    <w:rsid w:val="00BC2260"/>
    <w:rsid w:val="00BC2D76"/>
    <w:rsid w:val="00BC37DD"/>
    <w:rsid w:val="00BC5438"/>
    <w:rsid w:val="00BC6BF8"/>
    <w:rsid w:val="00BC72F8"/>
    <w:rsid w:val="00BD04AC"/>
    <w:rsid w:val="00BD1523"/>
    <w:rsid w:val="00BD1FCE"/>
    <w:rsid w:val="00BD2B94"/>
    <w:rsid w:val="00BD302D"/>
    <w:rsid w:val="00BD303D"/>
    <w:rsid w:val="00BD3B13"/>
    <w:rsid w:val="00BD4AAF"/>
    <w:rsid w:val="00BD563C"/>
    <w:rsid w:val="00BD5E6D"/>
    <w:rsid w:val="00BD7084"/>
    <w:rsid w:val="00BE0160"/>
    <w:rsid w:val="00BE645C"/>
    <w:rsid w:val="00BE6511"/>
    <w:rsid w:val="00BE744C"/>
    <w:rsid w:val="00BE7556"/>
    <w:rsid w:val="00BF4644"/>
    <w:rsid w:val="00BF51A2"/>
    <w:rsid w:val="00C00F54"/>
    <w:rsid w:val="00C0428A"/>
    <w:rsid w:val="00C0524E"/>
    <w:rsid w:val="00C127B4"/>
    <w:rsid w:val="00C12B0D"/>
    <w:rsid w:val="00C15590"/>
    <w:rsid w:val="00C218B1"/>
    <w:rsid w:val="00C24030"/>
    <w:rsid w:val="00C2434F"/>
    <w:rsid w:val="00C25245"/>
    <w:rsid w:val="00C25B49"/>
    <w:rsid w:val="00C26CB4"/>
    <w:rsid w:val="00C26E9D"/>
    <w:rsid w:val="00C348C3"/>
    <w:rsid w:val="00C353D9"/>
    <w:rsid w:val="00C356F2"/>
    <w:rsid w:val="00C4041B"/>
    <w:rsid w:val="00C418C7"/>
    <w:rsid w:val="00C4234A"/>
    <w:rsid w:val="00C47202"/>
    <w:rsid w:val="00C5009E"/>
    <w:rsid w:val="00C5487B"/>
    <w:rsid w:val="00C54D1E"/>
    <w:rsid w:val="00C569AE"/>
    <w:rsid w:val="00C56DFC"/>
    <w:rsid w:val="00C626F1"/>
    <w:rsid w:val="00C63018"/>
    <w:rsid w:val="00C63539"/>
    <w:rsid w:val="00C66B2E"/>
    <w:rsid w:val="00C704CE"/>
    <w:rsid w:val="00C71CA7"/>
    <w:rsid w:val="00C72553"/>
    <w:rsid w:val="00C74419"/>
    <w:rsid w:val="00C755E4"/>
    <w:rsid w:val="00C75D97"/>
    <w:rsid w:val="00C767CC"/>
    <w:rsid w:val="00C772C1"/>
    <w:rsid w:val="00C81124"/>
    <w:rsid w:val="00C8325E"/>
    <w:rsid w:val="00C86004"/>
    <w:rsid w:val="00C93A43"/>
    <w:rsid w:val="00C94D21"/>
    <w:rsid w:val="00C95611"/>
    <w:rsid w:val="00C95CD0"/>
    <w:rsid w:val="00C96BBC"/>
    <w:rsid w:val="00C9779A"/>
    <w:rsid w:val="00CA4E2F"/>
    <w:rsid w:val="00CA6D45"/>
    <w:rsid w:val="00CA7B8B"/>
    <w:rsid w:val="00CB0748"/>
    <w:rsid w:val="00CB0E9A"/>
    <w:rsid w:val="00CB4121"/>
    <w:rsid w:val="00CB6A61"/>
    <w:rsid w:val="00CB7759"/>
    <w:rsid w:val="00CC131F"/>
    <w:rsid w:val="00CC1F4D"/>
    <w:rsid w:val="00CC25ED"/>
    <w:rsid w:val="00CC520C"/>
    <w:rsid w:val="00CC5856"/>
    <w:rsid w:val="00CC61E7"/>
    <w:rsid w:val="00CD0FBC"/>
    <w:rsid w:val="00CD2A56"/>
    <w:rsid w:val="00CD2BAE"/>
    <w:rsid w:val="00CD4A2B"/>
    <w:rsid w:val="00CD4E03"/>
    <w:rsid w:val="00CD5831"/>
    <w:rsid w:val="00CD6985"/>
    <w:rsid w:val="00CE09E5"/>
    <w:rsid w:val="00CE1A17"/>
    <w:rsid w:val="00CF0BB5"/>
    <w:rsid w:val="00CF1CD5"/>
    <w:rsid w:val="00CF41A9"/>
    <w:rsid w:val="00CF55DD"/>
    <w:rsid w:val="00CF7DA8"/>
    <w:rsid w:val="00D00BF2"/>
    <w:rsid w:val="00D0197E"/>
    <w:rsid w:val="00D01FCD"/>
    <w:rsid w:val="00D01FD7"/>
    <w:rsid w:val="00D0719C"/>
    <w:rsid w:val="00D10CF5"/>
    <w:rsid w:val="00D14B92"/>
    <w:rsid w:val="00D14D32"/>
    <w:rsid w:val="00D1530F"/>
    <w:rsid w:val="00D1590A"/>
    <w:rsid w:val="00D16A64"/>
    <w:rsid w:val="00D17688"/>
    <w:rsid w:val="00D23B63"/>
    <w:rsid w:val="00D254AE"/>
    <w:rsid w:val="00D27949"/>
    <w:rsid w:val="00D30284"/>
    <w:rsid w:val="00D3121A"/>
    <w:rsid w:val="00D365CE"/>
    <w:rsid w:val="00D3786F"/>
    <w:rsid w:val="00D40391"/>
    <w:rsid w:val="00D45340"/>
    <w:rsid w:val="00D45EA5"/>
    <w:rsid w:val="00D5356F"/>
    <w:rsid w:val="00D54426"/>
    <w:rsid w:val="00D572AE"/>
    <w:rsid w:val="00D66EBF"/>
    <w:rsid w:val="00D67821"/>
    <w:rsid w:val="00D67DBA"/>
    <w:rsid w:val="00D700B8"/>
    <w:rsid w:val="00D816EA"/>
    <w:rsid w:val="00D8469E"/>
    <w:rsid w:val="00D91433"/>
    <w:rsid w:val="00D924EB"/>
    <w:rsid w:val="00D94882"/>
    <w:rsid w:val="00D94FDE"/>
    <w:rsid w:val="00DA1635"/>
    <w:rsid w:val="00DA28D2"/>
    <w:rsid w:val="00DA4EB8"/>
    <w:rsid w:val="00DA6834"/>
    <w:rsid w:val="00DA6D34"/>
    <w:rsid w:val="00DA7EF3"/>
    <w:rsid w:val="00DB02EB"/>
    <w:rsid w:val="00DB071A"/>
    <w:rsid w:val="00DB1114"/>
    <w:rsid w:val="00DB1BEB"/>
    <w:rsid w:val="00DB2290"/>
    <w:rsid w:val="00DB661C"/>
    <w:rsid w:val="00DC1929"/>
    <w:rsid w:val="00DC2312"/>
    <w:rsid w:val="00DC295F"/>
    <w:rsid w:val="00DD1D78"/>
    <w:rsid w:val="00DE028E"/>
    <w:rsid w:val="00DE26B7"/>
    <w:rsid w:val="00DE3C1D"/>
    <w:rsid w:val="00DE78E6"/>
    <w:rsid w:val="00DE7F58"/>
    <w:rsid w:val="00DF20CB"/>
    <w:rsid w:val="00DF586A"/>
    <w:rsid w:val="00DF60C0"/>
    <w:rsid w:val="00DF6F15"/>
    <w:rsid w:val="00DF72B3"/>
    <w:rsid w:val="00E00904"/>
    <w:rsid w:val="00E019F0"/>
    <w:rsid w:val="00E02218"/>
    <w:rsid w:val="00E03ECC"/>
    <w:rsid w:val="00E05161"/>
    <w:rsid w:val="00E06B0E"/>
    <w:rsid w:val="00E074D6"/>
    <w:rsid w:val="00E10471"/>
    <w:rsid w:val="00E1250D"/>
    <w:rsid w:val="00E14ED0"/>
    <w:rsid w:val="00E16993"/>
    <w:rsid w:val="00E17CB7"/>
    <w:rsid w:val="00E20DBD"/>
    <w:rsid w:val="00E21DED"/>
    <w:rsid w:val="00E2243A"/>
    <w:rsid w:val="00E24338"/>
    <w:rsid w:val="00E25320"/>
    <w:rsid w:val="00E254C0"/>
    <w:rsid w:val="00E31E90"/>
    <w:rsid w:val="00E3306F"/>
    <w:rsid w:val="00E337A9"/>
    <w:rsid w:val="00E34F8E"/>
    <w:rsid w:val="00E36B8D"/>
    <w:rsid w:val="00E41044"/>
    <w:rsid w:val="00E42E67"/>
    <w:rsid w:val="00E43B2F"/>
    <w:rsid w:val="00E44D09"/>
    <w:rsid w:val="00E51543"/>
    <w:rsid w:val="00E521AE"/>
    <w:rsid w:val="00E525A3"/>
    <w:rsid w:val="00E53263"/>
    <w:rsid w:val="00E535D3"/>
    <w:rsid w:val="00E5399E"/>
    <w:rsid w:val="00E54B65"/>
    <w:rsid w:val="00E55655"/>
    <w:rsid w:val="00E57341"/>
    <w:rsid w:val="00E6150A"/>
    <w:rsid w:val="00E62BE3"/>
    <w:rsid w:val="00E6381D"/>
    <w:rsid w:val="00E64F35"/>
    <w:rsid w:val="00E6548B"/>
    <w:rsid w:val="00E65584"/>
    <w:rsid w:val="00E668C4"/>
    <w:rsid w:val="00E7033B"/>
    <w:rsid w:val="00E70F85"/>
    <w:rsid w:val="00E7127B"/>
    <w:rsid w:val="00E74168"/>
    <w:rsid w:val="00E7700A"/>
    <w:rsid w:val="00E80FA9"/>
    <w:rsid w:val="00E82CD5"/>
    <w:rsid w:val="00E82F7C"/>
    <w:rsid w:val="00E83B58"/>
    <w:rsid w:val="00E85BD3"/>
    <w:rsid w:val="00E86C7E"/>
    <w:rsid w:val="00E87A2E"/>
    <w:rsid w:val="00E917DD"/>
    <w:rsid w:val="00E92381"/>
    <w:rsid w:val="00E9276A"/>
    <w:rsid w:val="00E93F93"/>
    <w:rsid w:val="00E96131"/>
    <w:rsid w:val="00EA021E"/>
    <w:rsid w:val="00EA162E"/>
    <w:rsid w:val="00EA23D9"/>
    <w:rsid w:val="00EA2917"/>
    <w:rsid w:val="00EA538D"/>
    <w:rsid w:val="00EA6932"/>
    <w:rsid w:val="00EB2B4E"/>
    <w:rsid w:val="00EB2B94"/>
    <w:rsid w:val="00EB50A4"/>
    <w:rsid w:val="00EB776A"/>
    <w:rsid w:val="00EC0665"/>
    <w:rsid w:val="00EC078E"/>
    <w:rsid w:val="00EC1F60"/>
    <w:rsid w:val="00EC23E7"/>
    <w:rsid w:val="00EC29A7"/>
    <w:rsid w:val="00EC7B75"/>
    <w:rsid w:val="00EE004D"/>
    <w:rsid w:val="00EE1052"/>
    <w:rsid w:val="00EE45C6"/>
    <w:rsid w:val="00EE4AE4"/>
    <w:rsid w:val="00EE67EB"/>
    <w:rsid w:val="00EF0A70"/>
    <w:rsid w:val="00EF0F2F"/>
    <w:rsid w:val="00EF3798"/>
    <w:rsid w:val="00F00901"/>
    <w:rsid w:val="00F009AC"/>
    <w:rsid w:val="00F013AC"/>
    <w:rsid w:val="00F0206B"/>
    <w:rsid w:val="00F026FB"/>
    <w:rsid w:val="00F02D54"/>
    <w:rsid w:val="00F03AA8"/>
    <w:rsid w:val="00F0474F"/>
    <w:rsid w:val="00F056E5"/>
    <w:rsid w:val="00F05962"/>
    <w:rsid w:val="00F06542"/>
    <w:rsid w:val="00F07670"/>
    <w:rsid w:val="00F0779F"/>
    <w:rsid w:val="00F10126"/>
    <w:rsid w:val="00F11481"/>
    <w:rsid w:val="00F1247B"/>
    <w:rsid w:val="00F14A06"/>
    <w:rsid w:val="00F15226"/>
    <w:rsid w:val="00F177F4"/>
    <w:rsid w:val="00F203E8"/>
    <w:rsid w:val="00F22EE0"/>
    <w:rsid w:val="00F249E1"/>
    <w:rsid w:val="00F25813"/>
    <w:rsid w:val="00F26610"/>
    <w:rsid w:val="00F26CCC"/>
    <w:rsid w:val="00F27252"/>
    <w:rsid w:val="00F367CC"/>
    <w:rsid w:val="00F40FC8"/>
    <w:rsid w:val="00F41CCF"/>
    <w:rsid w:val="00F42F8F"/>
    <w:rsid w:val="00F435EA"/>
    <w:rsid w:val="00F438C3"/>
    <w:rsid w:val="00F43F18"/>
    <w:rsid w:val="00F47332"/>
    <w:rsid w:val="00F51A5C"/>
    <w:rsid w:val="00F51BED"/>
    <w:rsid w:val="00F52BBE"/>
    <w:rsid w:val="00F53839"/>
    <w:rsid w:val="00F548E1"/>
    <w:rsid w:val="00F54BA7"/>
    <w:rsid w:val="00F63811"/>
    <w:rsid w:val="00F64411"/>
    <w:rsid w:val="00F649B7"/>
    <w:rsid w:val="00F70125"/>
    <w:rsid w:val="00F72617"/>
    <w:rsid w:val="00F72E74"/>
    <w:rsid w:val="00F74EF9"/>
    <w:rsid w:val="00F75683"/>
    <w:rsid w:val="00F75781"/>
    <w:rsid w:val="00F75F39"/>
    <w:rsid w:val="00F76CFE"/>
    <w:rsid w:val="00F822B6"/>
    <w:rsid w:val="00F85BC0"/>
    <w:rsid w:val="00F85C0B"/>
    <w:rsid w:val="00F86333"/>
    <w:rsid w:val="00F90503"/>
    <w:rsid w:val="00F910B2"/>
    <w:rsid w:val="00F9204E"/>
    <w:rsid w:val="00F9277A"/>
    <w:rsid w:val="00F92914"/>
    <w:rsid w:val="00F932B7"/>
    <w:rsid w:val="00F977FC"/>
    <w:rsid w:val="00FA2B3F"/>
    <w:rsid w:val="00FA5392"/>
    <w:rsid w:val="00FA5DE5"/>
    <w:rsid w:val="00FA603D"/>
    <w:rsid w:val="00FB1811"/>
    <w:rsid w:val="00FB229F"/>
    <w:rsid w:val="00FB2900"/>
    <w:rsid w:val="00FB308C"/>
    <w:rsid w:val="00FB42EC"/>
    <w:rsid w:val="00FB458E"/>
    <w:rsid w:val="00FB4B67"/>
    <w:rsid w:val="00FB5308"/>
    <w:rsid w:val="00FB5B86"/>
    <w:rsid w:val="00FB7B57"/>
    <w:rsid w:val="00FC12D9"/>
    <w:rsid w:val="00FC1840"/>
    <w:rsid w:val="00FC1FD8"/>
    <w:rsid w:val="00FC232F"/>
    <w:rsid w:val="00FC2B5B"/>
    <w:rsid w:val="00FC60CA"/>
    <w:rsid w:val="00FC6D14"/>
    <w:rsid w:val="00FC6E0B"/>
    <w:rsid w:val="00FD11EF"/>
    <w:rsid w:val="00FD2146"/>
    <w:rsid w:val="00FD4EAE"/>
    <w:rsid w:val="00FE185D"/>
    <w:rsid w:val="00FE4F46"/>
    <w:rsid w:val="00FE6EBB"/>
    <w:rsid w:val="00FE7247"/>
    <w:rsid w:val="00FF49DB"/>
    <w:rsid w:val="00FF5AE0"/>
    <w:rsid w:val="00FF6CE6"/>
    <w:rsid w:val="03D16CDF"/>
    <w:rsid w:val="121F4596"/>
    <w:rsid w:val="1FAE3F65"/>
    <w:rsid w:val="3E950917"/>
    <w:rsid w:val="48BF3E0F"/>
    <w:rsid w:val="5D206827"/>
    <w:rsid w:val="62D45F9B"/>
    <w:rsid w:val="6EA2065F"/>
    <w:rsid w:val="741E2190"/>
    <w:rsid w:val="7B3B2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2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3"/>
    <w:basedOn w:val="1"/>
    <w:next w:val="1"/>
    <w:link w:val="19"/>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6"/>
    <w:unhideWhenUsed/>
    <w:qFormat/>
    <w:uiPriority w:val="99"/>
    <w:pPr>
      <w:jc w:val="left"/>
    </w:pPr>
  </w:style>
  <w:style w:type="paragraph" w:styleId="5">
    <w:name w:val="Balloon Text"/>
    <w:basedOn w:val="1"/>
    <w:link w:val="18"/>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4"/>
    <w:next w:val="4"/>
    <w:link w:val="17"/>
    <w:unhideWhenUsed/>
    <w:qFormat/>
    <w:uiPriority w:val="99"/>
    <w:rPr>
      <w:b/>
      <w:bCs/>
    </w:rPr>
  </w:style>
  <w:style w:type="table" w:styleId="11">
    <w:name w:val="Table Grid"/>
    <w:basedOn w:val="1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annotation reference"/>
    <w:unhideWhenUsed/>
    <w:qFormat/>
    <w:uiPriority w:val="99"/>
    <w:rPr>
      <w:sz w:val="21"/>
      <w:szCs w:val="21"/>
    </w:rPr>
  </w:style>
  <w:style w:type="character" w:customStyle="1" w:styleId="14">
    <w:name w:val="页眉 字符"/>
    <w:link w:val="7"/>
    <w:qFormat/>
    <w:uiPriority w:val="99"/>
    <w:rPr>
      <w:sz w:val="18"/>
      <w:szCs w:val="18"/>
    </w:rPr>
  </w:style>
  <w:style w:type="character" w:customStyle="1" w:styleId="15">
    <w:name w:val="页脚 字符"/>
    <w:link w:val="6"/>
    <w:qFormat/>
    <w:uiPriority w:val="99"/>
    <w:rPr>
      <w:sz w:val="18"/>
      <w:szCs w:val="18"/>
    </w:rPr>
  </w:style>
  <w:style w:type="character" w:customStyle="1" w:styleId="16">
    <w:name w:val="批注文字 字符"/>
    <w:basedOn w:val="12"/>
    <w:link w:val="4"/>
    <w:semiHidden/>
    <w:qFormat/>
    <w:uiPriority w:val="99"/>
  </w:style>
  <w:style w:type="character" w:customStyle="1" w:styleId="17">
    <w:name w:val="批注主题 字符"/>
    <w:link w:val="9"/>
    <w:semiHidden/>
    <w:qFormat/>
    <w:uiPriority w:val="99"/>
    <w:rPr>
      <w:b/>
      <w:bCs/>
    </w:rPr>
  </w:style>
  <w:style w:type="character" w:customStyle="1" w:styleId="18">
    <w:name w:val="批注框文本 字符"/>
    <w:link w:val="5"/>
    <w:semiHidden/>
    <w:qFormat/>
    <w:uiPriority w:val="99"/>
    <w:rPr>
      <w:sz w:val="18"/>
      <w:szCs w:val="18"/>
    </w:rPr>
  </w:style>
  <w:style w:type="character" w:customStyle="1" w:styleId="19">
    <w:name w:val="标题 3 字符"/>
    <w:link w:val="3"/>
    <w:semiHidden/>
    <w:qFormat/>
    <w:uiPriority w:val="9"/>
    <w:rPr>
      <w:b/>
      <w:bCs/>
      <w:sz w:val="32"/>
      <w:szCs w:val="32"/>
    </w:rPr>
  </w:style>
  <w:style w:type="character" w:customStyle="1" w:styleId="20">
    <w:name w:val="标题 1 字符"/>
    <w:link w:val="2"/>
    <w:qFormat/>
    <w:uiPriority w:val="9"/>
    <w:rPr>
      <w:rFonts w:ascii="宋体" w:hAnsi="宋体" w:eastAsia="宋体" w:cs="宋体"/>
      <w:b/>
      <w:bCs/>
      <w:kern w:val="36"/>
      <w:sz w:val="48"/>
      <w:szCs w:val="48"/>
    </w:rPr>
  </w:style>
  <w:style w:type="character" w:customStyle="1" w:styleId="21">
    <w:name w:val="fontstyle01"/>
    <w:qFormat/>
    <w:uiPriority w:val="0"/>
    <w:rPr>
      <w:rFonts w:hint="default" w:ascii="Times New Roman" w:hAnsi="Times New Roman" w:cs="Times New Roman"/>
      <w:i/>
      <w:iCs/>
      <w:color w:val="000000"/>
      <w:sz w:val="22"/>
      <w:szCs w:val="22"/>
    </w:rPr>
  </w:style>
  <w:style w:type="paragraph" w:customStyle="1" w:styleId="22">
    <w:name w:val="修订1"/>
    <w:semiHidden/>
    <w:qFormat/>
    <w:uiPriority w:val="99"/>
    <w:rPr>
      <w:rFonts w:ascii="等线" w:hAnsi="等线" w:eastAsia="等线" w:cs="Times New Roman"/>
      <w:kern w:val="2"/>
      <w:sz w:val="21"/>
      <w:szCs w:val="22"/>
      <w:lang w:val="en-US" w:eastAsia="zh-CN" w:bidi="ar-SA"/>
    </w:rPr>
  </w:style>
  <w:style w:type="paragraph" w:styleId="23">
    <w:name w:val="List Paragraph"/>
    <w:basedOn w:val="1"/>
    <w:qFormat/>
    <w:uiPriority w:val="34"/>
    <w:pPr>
      <w:ind w:firstLine="420" w:firstLineChars="200"/>
    </w:pPr>
  </w:style>
  <w:style w:type="paragraph" w:customStyle="1" w:styleId="24">
    <w:name w:val="Default"/>
    <w:qFormat/>
    <w:uiPriority w:val="0"/>
    <w:pPr>
      <w:widowControl w:val="0"/>
      <w:autoSpaceDE w:val="0"/>
      <w:autoSpaceDN w:val="0"/>
      <w:adjustRightInd w:val="0"/>
    </w:pPr>
    <w:rPr>
      <w:rFonts w:ascii="宋体" w:hAnsi="宋体" w:eastAsia="等线" w:cs="宋体"/>
      <w:color w:val="000000"/>
      <w:sz w:val="24"/>
      <w:szCs w:val="24"/>
      <w:lang w:val="en-US" w:eastAsia="zh-CN" w:bidi="ar-SA"/>
    </w:rPr>
  </w:style>
  <w:style w:type="paragraph" w:customStyle="1" w:styleId="25">
    <w:name w:val="段"/>
    <w:link w:val="2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6">
    <w:name w:val="段 Char"/>
    <w:link w:val="25"/>
    <w:qFormat/>
    <w:uiPriority w:val="0"/>
    <w:rPr>
      <w:rFonts w:ascii="宋体" w:hAnsi="Times New Roman" w:eastAsia="宋体"/>
      <w:sz w:val="21"/>
    </w:rPr>
  </w:style>
  <w:style w:type="paragraph" w:customStyle="1" w:styleId="27">
    <w:name w:val="修订2"/>
    <w:hidden/>
    <w:semiHidden/>
    <w:qFormat/>
    <w:uiPriority w:val="99"/>
    <w:rPr>
      <w:rFonts w:ascii="等线" w:hAnsi="等线" w:eastAsia="等线" w:cs="Times New Roman"/>
      <w:kern w:val="2"/>
      <w:sz w:val="21"/>
      <w:szCs w:val="22"/>
      <w:lang w:val="en-US" w:eastAsia="zh-CN" w:bidi="ar-SA"/>
    </w:rPr>
  </w:style>
  <w:style w:type="paragraph" w:customStyle="1" w:styleId="28">
    <w:name w:val="Revision"/>
    <w:hidden/>
    <w:semiHidden/>
    <w:qFormat/>
    <w:uiPriority w:val="99"/>
    <w:rPr>
      <w:rFonts w:ascii="等线" w:hAnsi="等线" w:eastAsia="等线"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2836</Words>
  <Characters>3137</Characters>
  <Lines>22</Lines>
  <Paragraphs>6</Paragraphs>
  <TotalTime>3</TotalTime>
  <ScaleCrop>false</ScaleCrop>
  <LinksUpToDate>false</LinksUpToDate>
  <CharactersWithSpaces>3245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2022-04-28T00:30:00Z</dcterms:created>
  <dc:creator>Yiru LIU</dc:creator>
  <cp:lastModifiedBy>张鹏</cp:lastModifiedBy>
  <dcterms:modified xsi:type="dcterms:W3CDTF">2022-08-31T02:21:22Z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95A78267F8AF47268779C0B554838A25</vt:lpwstr>
  </property>
</Properties>
</file>